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513581">
      <w:pPr>
        <w:spacing w:after="156" w:afterLines="50" w:line="360" w:lineRule="auto"/>
        <w:jc w:val="center"/>
        <w:rPr>
          <w:rFonts w:ascii="宋体" w:hAnsi="宋体" w:eastAsia="宋体"/>
          <w:b/>
          <w:color w:val="auto"/>
          <w:sz w:val="32"/>
          <w:szCs w:val="32"/>
        </w:rPr>
      </w:pPr>
      <w:r>
        <w:rPr>
          <w:rFonts w:hint="eastAsia" w:ascii="宋体" w:hAnsi="宋体" w:eastAsia="宋体"/>
          <w:b/>
          <w:color w:val="auto"/>
          <w:sz w:val="32"/>
          <w:szCs w:val="32"/>
        </w:rPr>
        <w:t>维保服务合同</w:t>
      </w:r>
    </w:p>
    <w:p w14:paraId="087E5AE0">
      <w:pPr>
        <w:spacing w:after="156" w:afterLines="50" w:line="360" w:lineRule="auto"/>
        <w:ind w:right="1680"/>
        <w:jc w:val="right"/>
        <w:rPr>
          <w:rFonts w:ascii="宋体" w:hAnsi="宋体" w:eastAsia="宋体"/>
          <w:b/>
          <w:color w:val="auto"/>
          <w:sz w:val="32"/>
          <w:szCs w:val="32"/>
        </w:rPr>
      </w:pPr>
      <w:r>
        <w:rPr>
          <w:rFonts w:hint="eastAsia"/>
          <w:color w:val="auto"/>
        </w:rPr>
        <w:t>合同号：</w:t>
      </w:r>
    </w:p>
    <w:tbl>
      <w:tblPr>
        <w:tblStyle w:val="9"/>
        <w:tblW w:w="921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10"/>
        <w:gridCol w:w="5104"/>
      </w:tblGrid>
      <w:tr w14:paraId="3466F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4110" w:type="dxa"/>
          </w:tcPr>
          <w:p w14:paraId="72710203">
            <w:pPr>
              <w:widowControl/>
              <w:spacing w:after="156" w:afterLines="50" w:line="360" w:lineRule="auto"/>
              <w:jc w:val="left"/>
              <w:rPr>
                <w:rFonts w:hint="eastAsia" w:ascii="宋体" w:hAnsi="宋体" w:eastAsia="宋体"/>
                <w:b/>
                <w:snapToGrid w:val="0"/>
                <w:color w:val="auto"/>
                <w:kern w:val="0"/>
                <w:szCs w:val="21"/>
                <w:lang w:eastAsia="zh-CN"/>
              </w:rPr>
            </w:pPr>
            <w:r>
              <w:rPr>
                <w:rFonts w:hint="eastAsia" w:ascii="宋体" w:hAnsi="宋体" w:eastAsia="宋体"/>
                <w:b/>
                <w:snapToGrid w:val="0"/>
                <w:color w:val="auto"/>
                <w:kern w:val="0"/>
                <w:szCs w:val="21"/>
              </w:rPr>
              <w:t>甲方：</w:t>
            </w:r>
            <w:r>
              <w:rPr>
                <w:rFonts w:ascii="宋体" w:hAnsi="宋体" w:eastAsia="宋体"/>
                <w:b/>
                <w:snapToGrid w:val="0"/>
                <w:color w:val="auto"/>
                <w:kern w:val="0"/>
                <w:szCs w:val="21"/>
              </w:rPr>
              <w:t xml:space="preserve"> </w:t>
            </w:r>
            <w:r>
              <w:rPr>
                <w:rFonts w:hint="eastAsia" w:ascii="宋体" w:hAnsi="宋体" w:eastAsia="宋体"/>
                <w:b/>
                <w:snapToGrid w:val="0"/>
                <w:color w:val="auto"/>
                <w:kern w:val="0"/>
                <w:szCs w:val="21"/>
                <w:lang w:eastAsia="zh-CN"/>
              </w:rPr>
              <w:t>三原县医院</w:t>
            </w:r>
          </w:p>
        </w:tc>
        <w:tc>
          <w:tcPr>
            <w:tcW w:w="5104" w:type="dxa"/>
          </w:tcPr>
          <w:p w14:paraId="74672798">
            <w:pPr>
              <w:widowControl/>
              <w:spacing w:after="156" w:afterLines="50" w:line="360" w:lineRule="auto"/>
              <w:jc w:val="left"/>
              <w:rPr>
                <w:rFonts w:ascii="宋体" w:hAnsi="宋体" w:eastAsia="宋体"/>
                <w:b/>
                <w:snapToGrid w:val="0"/>
                <w:color w:val="auto"/>
                <w:kern w:val="0"/>
                <w:szCs w:val="21"/>
              </w:rPr>
            </w:pPr>
            <w:r>
              <w:rPr>
                <w:rFonts w:hint="eastAsia" w:ascii="宋体" w:hAnsi="宋体" w:eastAsia="宋体"/>
                <w:b/>
                <w:snapToGrid w:val="0"/>
                <w:color w:val="auto"/>
                <w:kern w:val="0"/>
                <w:szCs w:val="21"/>
              </w:rPr>
              <w:t>地址：</w:t>
            </w:r>
            <w:r>
              <w:rPr>
                <w:rFonts w:ascii="宋体" w:hAnsi="宋体" w:eastAsia="宋体"/>
                <w:b/>
                <w:snapToGrid w:val="0"/>
                <w:color w:val="auto"/>
                <w:kern w:val="0"/>
                <w:szCs w:val="21"/>
              </w:rPr>
              <w:t xml:space="preserve"> </w:t>
            </w:r>
            <w:bookmarkStart w:id="0" w:name="买方联系地址"/>
            <w:bookmarkEnd w:id="0"/>
          </w:p>
        </w:tc>
      </w:tr>
      <w:tr w14:paraId="7C7C4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110" w:type="dxa"/>
            <w:tcBorders>
              <w:bottom w:val="single" w:color="auto" w:sz="4" w:space="0"/>
            </w:tcBorders>
          </w:tcPr>
          <w:p w14:paraId="6C57EC03">
            <w:pPr>
              <w:widowControl/>
              <w:spacing w:after="156" w:afterLines="50" w:line="360" w:lineRule="auto"/>
              <w:jc w:val="left"/>
              <w:rPr>
                <w:rFonts w:ascii="宋体" w:hAnsi="宋体" w:eastAsia="宋体"/>
                <w:b/>
                <w:snapToGrid w:val="0"/>
                <w:color w:val="auto"/>
                <w:kern w:val="0"/>
                <w:szCs w:val="21"/>
              </w:rPr>
            </w:pPr>
            <w:r>
              <w:rPr>
                <w:rFonts w:hint="eastAsia" w:ascii="宋体" w:hAnsi="宋体" w:eastAsia="宋体"/>
                <w:b/>
                <w:snapToGrid w:val="0"/>
                <w:color w:val="auto"/>
                <w:kern w:val="0"/>
                <w:szCs w:val="21"/>
              </w:rPr>
              <w:t>联系人及邮箱</w:t>
            </w:r>
            <w:r>
              <w:rPr>
                <w:rFonts w:ascii="宋体" w:hAnsi="宋体" w:eastAsia="宋体"/>
                <w:b/>
                <w:snapToGrid w:val="0"/>
                <w:color w:val="auto"/>
                <w:kern w:val="0"/>
                <w:szCs w:val="21"/>
              </w:rPr>
              <w:t>:</w:t>
            </w:r>
            <w:r>
              <w:rPr>
                <w:rFonts w:hint="eastAsia" w:ascii="宋体" w:hAnsi="宋体" w:eastAsia="宋体"/>
                <w:b/>
                <w:snapToGrid w:val="0"/>
                <w:color w:val="auto"/>
                <w:kern w:val="0"/>
                <w:szCs w:val="21"/>
              </w:rPr>
              <w:t xml:space="preserve"> </w:t>
            </w:r>
          </w:p>
        </w:tc>
        <w:tc>
          <w:tcPr>
            <w:tcW w:w="5104" w:type="dxa"/>
            <w:tcBorders>
              <w:bottom w:val="single" w:color="auto" w:sz="4" w:space="0"/>
            </w:tcBorders>
          </w:tcPr>
          <w:p w14:paraId="0406306C">
            <w:pPr>
              <w:widowControl/>
              <w:spacing w:after="156" w:afterLines="50" w:line="360" w:lineRule="auto"/>
              <w:jc w:val="left"/>
              <w:rPr>
                <w:rFonts w:ascii="宋体" w:hAnsi="宋体" w:eastAsia="宋体"/>
                <w:b/>
                <w:snapToGrid w:val="0"/>
                <w:color w:val="auto"/>
                <w:kern w:val="0"/>
                <w:szCs w:val="21"/>
              </w:rPr>
            </w:pPr>
            <w:r>
              <w:rPr>
                <w:rFonts w:hint="eastAsia" w:ascii="宋体" w:hAnsi="宋体" w:eastAsia="宋体"/>
                <w:b/>
                <w:snapToGrid w:val="0"/>
                <w:color w:val="auto"/>
                <w:kern w:val="0"/>
                <w:szCs w:val="21"/>
              </w:rPr>
              <w:t>电话</w:t>
            </w:r>
            <w:r>
              <w:rPr>
                <w:rFonts w:ascii="宋体" w:hAnsi="宋体" w:eastAsia="宋体"/>
                <w:b/>
                <w:snapToGrid w:val="0"/>
                <w:color w:val="auto"/>
                <w:kern w:val="0"/>
                <w:szCs w:val="21"/>
              </w:rPr>
              <w:t>:</w:t>
            </w:r>
            <w:r>
              <w:rPr>
                <w:rFonts w:hint="eastAsia" w:ascii="宋体" w:hAnsi="宋体" w:eastAsia="宋体"/>
                <w:b/>
                <w:snapToGrid w:val="0"/>
                <w:color w:val="auto"/>
                <w:kern w:val="0"/>
                <w:szCs w:val="21"/>
              </w:rPr>
              <w:t xml:space="preserve"> </w:t>
            </w:r>
          </w:p>
        </w:tc>
      </w:tr>
      <w:tr w14:paraId="67531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110" w:type="dxa"/>
            <w:tcBorders>
              <w:top w:val="single" w:color="auto" w:sz="4" w:space="0"/>
            </w:tcBorders>
          </w:tcPr>
          <w:p w14:paraId="45B501DD">
            <w:pPr>
              <w:widowControl/>
              <w:spacing w:after="156" w:afterLines="50" w:line="360" w:lineRule="auto"/>
              <w:jc w:val="left"/>
              <w:rPr>
                <w:rFonts w:ascii="宋体" w:hAnsi="宋体" w:eastAsia="宋体"/>
                <w:b/>
                <w:snapToGrid w:val="0"/>
                <w:color w:val="auto"/>
                <w:kern w:val="0"/>
                <w:szCs w:val="21"/>
              </w:rPr>
            </w:pPr>
            <w:r>
              <w:rPr>
                <w:rFonts w:hint="eastAsia" w:ascii="宋体" w:hAnsi="宋体" w:eastAsia="宋体"/>
                <w:b/>
                <w:snapToGrid w:val="0"/>
                <w:color w:val="auto"/>
                <w:kern w:val="0"/>
                <w:szCs w:val="21"/>
              </w:rPr>
              <w:t>乙方：</w:t>
            </w:r>
          </w:p>
        </w:tc>
        <w:tc>
          <w:tcPr>
            <w:tcW w:w="5104" w:type="dxa"/>
            <w:tcBorders>
              <w:top w:val="single" w:color="auto" w:sz="4" w:space="0"/>
            </w:tcBorders>
          </w:tcPr>
          <w:p w14:paraId="4C15470A">
            <w:pPr>
              <w:widowControl/>
              <w:spacing w:after="156" w:afterLines="50" w:line="360" w:lineRule="auto"/>
              <w:jc w:val="left"/>
              <w:rPr>
                <w:rFonts w:ascii="宋体" w:hAnsi="宋体" w:eastAsia="宋体"/>
                <w:b/>
                <w:snapToGrid w:val="0"/>
                <w:color w:val="auto"/>
                <w:kern w:val="0"/>
                <w:szCs w:val="21"/>
              </w:rPr>
            </w:pPr>
            <w:r>
              <w:rPr>
                <w:rFonts w:hint="eastAsia" w:ascii="宋体" w:hAnsi="宋体" w:eastAsia="宋体"/>
                <w:b/>
                <w:snapToGrid w:val="0"/>
                <w:color w:val="auto"/>
                <w:kern w:val="0"/>
                <w:szCs w:val="21"/>
              </w:rPr>
              <w:t>地址：</w:t>
            </w:r>
          </w:p>
        </w:tc>
      </w:tr>
      <w:tr w14:paraId="28E08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110" w:type="dxa"/>
            <w:tcBorders>
              <w:bottom w:val="single" w:color="auto" w:sz="4" w:space="0"/>
            </w:tcBorders>
          </w:tcPr>
          <w:p w14:paraId="79973F8D">
            <w:pPr>
              <w:widowControl/>
              <w:spacing w:after="156" w:afterLines="50" w:line="360" w:lineRule="auto"/>
              <w:jc w:val="left"/>
              <w:rPr>
                <w:rFonts w:ascii="宋体" w:hAnsi="宋体" w:eastAsia="宋体"/>
                <w:b/>
                <w:snapToGrid w:val="0"/>
                <w:color w:val="auto"/>
                <w:kern w:val="0"/>
                <w:szCs w:val="21"/>
              </w:rPr>
            </w:pPr>
            <w:r>
              <w:rPr>
                <w:rFonts w:hint="eastAsia" w:ascii="宋体" w:hAnsi="宋体" w:eastAsia="宋体"/>
                <w:b/>
                <w:snapToGrid w:val="0"/>
                <w:color w:val="auto"/>
                <w:kern w:val="0"/>
                <w:szCs w:val="21"/>
              </w:rPr>
              <w:t>联系人及邮箱</w:t>
            </w:r>
            <w:r>
              <w:rPr>
                <w:rFonts w:ascii="宋体" w:hAnsi="宋体" w:eastAsia="宋体"/>
                <w:b/>
                <w:snapToGrid w:val="0"/>
                <w:color w:val="auto"/>
                <w:kern w:val="0"/>
                <w:szCs w:val="21"/>
              </w:rPr>
              <w:t>:</w:t>
            </w:r>
            <w:r>
              <w:rPr>
                <w:rFonts w:hint="eastAsia" w:ascii="宋体" w:hAnsi="宋体" w:eastAsia="宋体"/>
                <w:b/>
                <w:snapToGrid w:val="0"/>
                <w:color w:val="auto"/>
                <w:kern w:val="0"/>
                <w:szCs w:val="21"/>
              </w:rPr>
              <w:t xml:space="preserve"> </w:t>
            </w:r>
          </w:p>
        </w:tc>
        <w:tc>
          <w:tcPr>
            <w:tcW w:w="5104" w:type="dxa"/>
            <w:tcBorders>
              <w:bottom w:val="single" w:color="auto" w:sz="4" w:space="0"/>
            </w:tcBorders>
          </w:tcPr>
          <w:p w14:paraId="3A6DFF1B">
            <w:pPr>
              <w:widowControl/>
              <w:spacing w:after="156" w:afterLines="50" w:line="360" w:lineRule="auto"/>
              <w:jc w:val="left"/>
              <w:rPr>
                <w:rFonts w:ascii="宋体" w:hAnsi="宋体" w:eastAsia="宋体"/>
                <w:b/>
                <w:snapToGrid w:val="0"/>
                <w:color w:val="auto"/>
                <w:kern w:val="0"/>
                <w:szCs w:val="21"/>
              </w:rPr>
            </w:pPr>
            <w:r>
              <w:rPr>
                <w:rFonts w:hint="eastAsia" w:ascii="宋体" w:hAnsi="宋体" w:eastAsia="宋体"/>
                <w:b/>
                <w:snapToGrid w:val="0"/>
                <w:color w:val="auto"/>
                <w:kern w:val="0"/>
                <w:szCs w:val="21"/>
              </w:rPr>
              <w:t>电话</w:t>
            </w:r>
            <w:r>
              <w:rPr>
                <w:rFonts w:ascii="宋体" w:hAnsi="宋体" w:eastAsia="宋体"/>
                <w:b/>
                <w:snapToGrid w:val="0"/>
                <w:color w:val="auto"/>
                <w:kern w:val="0"/>
                <w:szCs w:val="21"/>
              </w:rPr>
              <w:t>:</w:t>
            </w:r>
            <w:r>
              <w:rPr>
                <w:rFonts w:hint="eastAsia" w:ascii="宋体" w:hAnsi="宋体" w:eastAsia="宋体"/>
                <w:b/>
                <w:snapToGrid w:val="0"/>
                <w:color w:val="auto"/>
                <w:kern w:val="0"/>
                <w:szCs w:val="21"/>
              </w:rPr>
              <w:t xml:space="preserve"> </w:t>
            </w:r>
          </w:p>
        </w:tc>
      </w:tr>
    </w:tbl>
    <w:p w14:paraId="48462138">
      <w:pPr>
        <w:pStyle w:val="13"/>
        <w:widowControl/>
        <w:spacing w:after="156" w:afterLines="50" w:line="360" w:lineRule="auto"/>
        <w:rPr>
          <w:rFonts w:ascii="宋体" w:hAnsi="宋体" w:eastAsia="宋体"/>
          <w:color w:val="auto"/>
          <w:szCs w:val="21"/>
        </w:rPr>
      </w:pPr>
      <w:r>
        <w:rPr>
          <w:rFonts w:hint="eastAsia" w:ascii="宋体" w:hAnsi="宋体" w:eastAsia="宋体"/>
          <w:color w:val="auto"/>
          <w:szCs w:val="21"/>
        </w:rPr>
        <w:t>根据《中华人民共和国民法典》及其他相关法律法规的规定，甲乙双方在平等、自愿的基础上，就提供设备维修保养服务达成如下共识：</w:t>
      </w:r>
    </w:p>
    <w:p w14:paraId="45753B55">
      <w:pPr>
        <w:pStyle w:val="13"/>
        <w:widowControl/>
        <w:numPr>
          <w:ilvl w:val="0"/>
          <w:numId w:val="1"/>
        </w:numPr>
        <w:spacing w:after="156" w:afterLines="50" w:line="360" w:lineRule="auto"/>
        <w:ind w:firstLineChars="0"/>
        <w:rPr>
          <w:rFonts w:ascii="宋体" w:hAnsi="宋体" w:eastAsia="宋体"/>
          <w:b/>
          <w:color w:val="auto"/>
          <w:szCs w:val="21"/>
        </w:rPr>
      </w:pPr>
      <w:r>
        <w:rPr>
          <w:rFonts w:hint="eastAsia" w:ascii="宋体" w:hAnsi="宋体" w:eastAsia="宋体"/>
          <w:b/>
          <w:color w:val="auto"/>
          <w:szCs w:val="21"/>
        </w:rPr>
        <w:t>维保服务所保设备及服务期限、价格</w:t>
      </w:r>
    </w:p>
    <w:tbl>
      <w:tblPr>
        <w:tblStyle w:val="9"/>
        <w:tblW w:w="1077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512"/>
        <w:gridCol w:w="1276"/>
        <w:gridCol w:w="1413"/>
        <w:gridCol w:w="1186"/>
        <w:gridCol w:w="1654"/>
        <w:gridCol w:w="1701"/>
        <w:gridCol w:w="1275"/>
      </w:tblGrid>
      <w:tr w14:paraId="4EC32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81" w:hRule="atLeast"/>
        </w:trPr>
        <w:tc>
          <w:tcPr>
            <w:tcW w:w="756" w:type="dxa"/>
            <w:vAlign w:val="center"/>
          </w:tcPr>
          <w:p w14:paraId="3D720B7D">
            <w:pPr>
              <w:pStyle w:val="13"/>
              <w:widowControl/>
              <w:spacing w:after="156" w:afterLines="50" w:line="360" w:lineRule="auto"/>
              <w:ind w:firstLine="0" w:firstLineChars="0"/>
              <w:jc w:val="center"/>
              <w:rPr>
                <w:rFonts w:ascii="宋体" w:hAnsi="宋体" w:eastAsia="宋体"/>
                <w:b/>
                <w:color w:val="auto"/>
                <w:szCs w:val="18"/>
              </w:rPr>
            </w:pPr>
            <w:r>
              <w:rPr>
                <w:rFonts w:hint="eastAsia" w:ascii="宋体" w:hAnsi="宋体" w:eastAsia="宋体"/>
                <w:b/>
                <w:color w:val="auto"/>
                <w:szCs w:val="18"/>
              </w:rPr>
              <w:t>序号</w:t>
            </w:r>
          </w:p>
        </w:tc>
        <w:tc>
          <w:tcPr>
            <w:tcW w:w="1512" w:type="dxa"/>
            <w:vAlign w:val="center"/>
          </w:tcPr>
          <w:p w14:paraId="5B2F8B8E">
            <w:pPr>
              <w:pStyle w:val="13"/>
              <w:widowControl/>
              <w:spacing w:after="156" w:afterLines="50" w:line="360" w:lineRule="auto"/>
              <w:ind w:firstLine="0" w:firstLineChars="0"/>
              <w:jc w:val="center"/>
              <w:rPr>
                <w:rFonts w:ascii="宋体" w:hAnsi="宋体" w:eastAsia="宋体"/>
                <w:b/>
                <w:color w:val="auto"/>
                <w:szCs w:val="18"/>
              </w:rPr>
            </w:pPr>
            <w:r>
              <w:rPr>
                <w:rFonts w:hint="eastAsia" w:ascii="宋体" w:hAnsi="宋体" w:eastAsia="宋体"/>
                <w:b/>
                <w:color w:val="auto"/>
                <w:szCs w:val="18"/>
              </w:rPr>
              <w:t>设备名称</w:t>
            </w:r>
          </w:p>
        </w:tc>
        <w:tc>
          <w:tcPr>
            <w:tcW w:w="1276" w:type="dxa"/>
          </w:tcPr>
          <w:p w14:paraId="4A09BBEC">
            <w:pPr>
              <w:pStyle w:val="13"/>
              <w:widowControl/>
              <w:spacing w:after="156" w:afterLines="50" w:line="360" w:lineRule="auto"/>
              <w:ind w:firstLine="0" w:firstLineChars="0"/>
              <w:rPr>
                <w:rFonts w:ascii="宋体" w:hAnsi="宋体" w:eastAsia="宋体"/>
                <w:b/>
                <w:color w:val="auto"/>
                <w:szCs w:val="18"/>
              </w:rPr>
            </w:pPr>
            <w:r>
              <w:rPr>
                <w:rFonts w:hint="eastAsia" w:ascii="宋体" w:hAnsi="宋体" w:eastAsia="宋体"/>
                <w:b/>
                <w:color w:val="auto"/>
                <w:szCs w:val="18"/>
              </w:rPr>
              <w:t>设备型号</w:t>
            </w:r>
          </w:p>
        </w:tc>
        <w:tc>
          <w:tcPr>
            <w:tcW w:w="1413" w:type="dxa"/>
            <w:vAlign w:val="center"/>
          </w:tcPr>
          <w:p w14:paraId="727B37CE">
            <w:pPr>
              <w:pStyle w:val="13"/>
              <w:widowControl/>
              <w:spacing w:after="156" w:afterLines="50" w:line="360" w:lineRule="auto"/>
              <w:ind w:firstLine="0" w:firstLineChars="0"/>
              <w:jc w:val="center"/>
              <w:rPr>
                <w:rFonts w:ascii="宋体" w:hAnsi="宋体" w:eastAsia="宋体"/>
                <w:b/>
                <w:color w:val="auto"/>
                <w:szCs w:val="18"/>
              </w:rPr>
            </w:pPr>
            <w:r>
              <w:rPr>
                <w:rFonts w:hint="eastAsia" w:ascii="宋体" w:hAnsi="宋体" w:eastAsia="宋体"/>
                <w:b/>
                <w:color w:val="auto"/>
                <w:szCs w:val="18"/>
              </w:rPr>
              <w:t>序列号</w:t>
            </w:r>
          </w:p>
        </w:tc>
        <w:tc>
          <w:tcPr>
            <w:tcW w:w="1186" w:type="dxa"/>
          </w:tcPr>
          <w:p w14:paraId="7C18C953">
            <w:pPr>
              <w:spacing w:after="50" w:line="360" w:lineRule="auto"/>
              <w:rPr>
                <w:rFonts w:ascii="宋体" w:hAnsi="宋体" w:eastAsia="宋体"/>
                <w:b/>
                <w:color w:val="auto"/>
                <w:szCs w:val="18"/>
              </w:rPr>
            </w:pPr>
            <w:r>
              <w:rPr>
                <w:rFonts w:hint="eastAsia" w:ascii="宋体" w:hAnsi="宋体" w:eastAsia="宋体"/>
                <w:b/>
                <w:color w:val="auto"/>
                <w:szCs w:val="18"/>
              </w:rPr>
              <w:t>最终用户</w:t>
            </w:r>
          </w:p>
        </w:tc>
        <w:tc>
          <w:tcPr>
            <w:tcW w:w="1654" w:type="dxa"/>
            <w:vAlign w:val="center"/>
          </w:tcPr>
          <w:p w14:paraId="5DF08025">
            <w:pPr>
              <w:pStyle w:val="13"/>
              <w:widowControl/>
              <w:spacing w:after="156" w:afterLines="50" w:line="360" w:lineRule="auto"/>
              <w:ind w:firstLine="0" w:firstLineChars="0"/>
              <w:jc w:val="center"/>
              <w:rPr>
                <w:rFonts w:ascii="宋体" w:hAnsi="宋体" w:eastAsia="宋体"/>
                <w:b/>
                <w:color w:val="auto"/>
                <w:szCs w:val="18"/>
              </w:rPr>
            </w:pPr>
            <w:r>
              <w:rPr>
                <w:rFonts w:hint="eastAsia" w:ascii="宋体" w:hAnsi="宋体" w:eastAsia="宋体"/>
                <w:b/>
                <w:color w:val="auto"/>
                <w:szCs w:val="18"/>
              </w:rPr>
              <w:t>服务类型</w:t>
            </w:r>
          </w:p>
        </w:tc>
        <w:tc>
          <w:tcPr>
            <w:tcW w:w="1701" w:type="dxa"/>
            <w:vAlign w:val="center"/>
          </w:tcPr>
          <w:p w14:paraId="6E70E32E">
            <w:pPr>
              <w:pStyle w:val="13"/>
              <w:widowControl/>
              <w:spacing w:after="156" w:afterLines="50" w:line="360" w:lineRule="auto"/>
              <w:ind w:firstLine="0" w:firstLineChars="0"/>
              <w:jc w:val="center"/>
              <w:rPr>
                <w:rFonts w:ascii="宋体" w:hAnsi="宋体" w:eastAsia="宋体"/>
                <w:b/>
                <w:color w:val="auto"/>
                <w:szCs w:val="18"/>
              </w:rPr>
            </w:pPr>
            <w:r>
              <w:rPr>
                <w:rFonts w:hint="eastAsia" w:ascii="宋体" w:hAnsi="宋体" w:eastAsia="宋体"/>
                <w:b/>
                <w:color w:val="auto"/>
                <w:szCs w:val="18"/>
              </w:rPr>
              <w:t>服务期限</w:t>
            </w:r>
          </w:p>
        </w:tc>
        <w:tc>
          <w:tcPr>
            <w:tcW w:w="1275" w:type="dxa"/>
            <w:vAlign w:val="center"/>
          </w:tcPr>
          <w:p w14:paraId="7BC85072">
            <w:pPr>
              <w:pStyle w:val="13"/>
              <w:widowControl/>
              <w:spacing w:after="156" w:afterLines="50" w:line="360" w:lineRule="auto"/>
              <w:ind w:firstLine="0" w:firstLineChars="0"/>
              <w:jc w:val="center"/>
              <w:rPr>
                <w:rFonts w:ascii="宋体" w:hAnsi="宋体" w:eastAsia="宋体"/>
                <w:b/>
                <w:color w:val="auto"/>
                <w:szCs w:val="18"/>
              </w:rPr>
            </w:pPr>
            <w:r>
              <w:rPr>
                <w:rFonts w:hint="eastAsia" w:ascii="宋体" w:hAnsi="宋体" w:eastAsia="宋体"/>
                <w:b/>
                <w:color w:val="auto"/>
                <w:szCs w:val="18"/>
              </w:rPr>
              <w:t>维保价格（元）</w:t>
            </w:r>
          </w:p>
        </w:tc>
      </w:tr>
      <w:tr w14:paraId="1C646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756" w:type="dxa"/>
            <w:vAlign w:val="center"/>
          </w:tcPr>
          <w:p w14:paraId="2F86F026">
            <w:pPr>
              <w:pStyle w:val="13"/>
              <w:widowControl/>
              <w:spacing w:after="156" w:afterLines="50" w:line="360" w:lineRule="auto"/>
              <w:ind w:firstLine="0" w:firstLineChars="0"/>
              <w:jc w:val="center"/>
              <w:rPr>
                <w:rFonts w:ascii="宋体" w:hAnsi="宋体" w:eastAsia="宋体"/>
                <w:color w:val="auto"/>
                <w:szCs w:val="18"/>
              </w:rPr>
            </w:pPr>
            <w:r>
              <w:rPr>
                <w:rFonts w:hint="eastAsia" w:ascii="宋体" w:hAnsi="宋体" w:eastAsia="宋体"/>
                <w:color w:val="auto"/>
                <w:szCs w:val="18"/>
              </w:rPr>
              <w:t>1</w:t>
            </w:r>
          </w:p>
        </w:tc>
        <w:tc>
          <w:tcPr>
            <w:tcW w:w="1512" w:type="dxa"/>
            <w:vAlign w:val="center"/>
          </w:tcPr>
          <w:p w14:paraId="66B79BCC">
            <w:pPr>
              <w:pStyle w:val="13"/>
              <w:widowControl/>
              <w:spacing w:after="156" w:afterLines="50" w:line="360" w:lineRule="auto"/>
              <w:ind w:firstLine="0" w:firstLineChars="0"/>
              <w:jc w:val="left"/>
              <w:rPr>
                <w:rFonts w:ascii="宋体" w:hAnsi="宋体" w:eastAsia="宋体"/>
                <w:color w:val="auto"/>
                <w:szCs w:val="18"/>
              </w:rPr>
            </w:pPr>
            <w:sdt>
              <w:sdtPr>
                <w:rPr>
                  <w:rFonts w:ascii="宋体" w:hAnsi="宋体" w:eastAsia="宋体"/>
                  <w:color w:val="auto"/>
                  <w:szCs w:val="18"/>
                </w:rPr>
                <w:alias w:val="产品名称"/>
                <w:tag w:val="产品名称"/>
                <w:id w:val="-1"/>
                <w:placeholder>
                  <w:docPart w:val="D99C88620D494BEEBE35361C5E5141C7"/>
                </w:placeholder>
                <w:dropDownList>
                  <w:listItem w:value="选择一项"/>
                  <w:listItem w:displayText="数字化医用X射线摄影系统" w:value="数字化医用X射线摄影系统"/>
                  <w:listItem w:displayText="数字乳腺X射线摄影系统" w:value="数字乳腺X射线摄影系统"/>
                  <w:listItem w:displayText="移动式数字化医用X射线摄影系统" w:value="移动式数字化医用X射线摄影系统"/>
                  <w:listItem w:displayText="磁共振成像系统" w:value="磁共振成像系统"/>
                  <w:listItem w:displayText="X射线计算机体层摄影设备" w:value="X射线计算机体层摄影设备"/>
                  <w:listItem w:displayText="正电子发射及X射线计算机断层成像扫描系统" w:value="正电子发射及X射线计算机断层成像扫描系统"/>
                </w:dropDownList>
              </w:sdtPr>
              <w:sdtEndPr>
                <w:rPr>
                  <w:rFonts w:ascii="宋体" w:hAnsi="宋体" w:eastAsia="宋体"/>
                  <w:color w:val="auto"/>
                  <w:szCs w:val="18"/>
                </w:rPr>
              </w:sdtEndPr>
              <w:sdtContent>
                <w:r>
                  <w:rPr>
                    <w:rFonts w:ascii="宋体" w:hAnsi="宋体" w:eastAsia="宋体"/>
                    <w:color w:val="auto"/>
                    <w:szCs w:val="18"/>
                  </w:rPr>
                  <w:t>磁共振成像系统</w:t>
                </w:r>
              </w:sdtContent>
            </w:sdt>
          </w:p>
        </w:tc>
        <w:tc>
          <w:tcPr>
            <w:tcW w:w="1276" w:type="dxa"/>
          </w:tcPr>
          <w:p w14:paraId="2CE0D194">
            <w:pPr>
              <w:pStyle w:val="13"/>
              <w:widowControl/>
              <w:spacing w:after="156" w:afterLines="50" w:line="360" w:lineRule="auto"/>
              <w:ind w:firstLine="0" w:firstLineChars="0"/>
              <w:rPr>
                <w:color w:val="auto"/>
              </w:rPr>
            </w:pPr>
          </w:p>
        </w:tc>
        <w:tc>
          <w:tcPr>
            <w:tcW w:w="1413" w:type="dxa"/>
            <w:vAlign w:val="center"/>
          </w:tcPr>
          <w:p w14:paraId="47D4E6E5">
            <w:pPr>
              <w:pStyle w:val="13"/>
              <w:widowControl/>
              <w:spacing w:after="156" w:afterLines="50" w:line="360" w:lineRule="auto"/>
              <w:ind w:firstLine="0" w:firstLineChars="0"/>
              <w:rPr>
                <w:color w:val="auto"/>
              </w:rPr>
            </w:pPr>
          </w:p>
        </w:tc>
        <w:tc>
          <w:tcPr>
            <w:tcW w:w="1186" w:type="dxa"/>
          </w:tcPr>
          <w:p w14:paraId="4DAAA7A6">
            <w:pPr>
              <w:pStyle w:val="13"/>
              <w:widowControl/>
              <w:spacing w:after="156" w:afterLines="50" w:line="360" w:lineRule="auto"/>
              <w:ind w:firstLine="0" w:firstLineChars="0"/>
              <w:rPr>
                <w:rFonts w:hint="eastAsia"/>
                <w:color w:val="auto"/>
              </w:rPr>
            </w:pPr>
          </w:p>
        </w:tc>
        <w:tc>
          <w:tcPr>
            <w:tcW w:w="1654" w:type="dxa"/>
            <w:vAlign w:val="center"/>
          </w:tcPr>
          <w:p w14:paraId="26EE5795">
            <w:pPr>
              <w:pStyle w:val="13"/>
              <w:widowControl/>
              <w:spacing w:after="156" w:afterLines="50" w:line="360" w:lineRule="auto"/>
              <w:ind w:firstLine="0" w:firstLineChars="0"/>
              <w:jc w:val="center"/>
              <w:rPr>
                <w:rFonts w:ascii="宋体" w:hAnsi="宋体" w:eastAsia="宋体"/>
                <w:color w:val="auto"/>
                <w:szCs w:val="18"/>
              </w:rPr>
            </w:pPr>
            <w:r>
              <w:rPr>
                <w:color w:val="auto"/>
              </w:rPr>
              <w:t>全保</w:t>
            </w:r>
          </w:p>
        </w:tc>
        <w:tc>
          <w:tcPr>
            <w:tcW w:w="1701" w:type="dxa"/>
            <w:vAlign w:val="center"/>
          </w:tcPr>
          <w:p w14:paraId="20A2C586">
            <w:pPr>
              <w:pStyle w:val="13"/>
              <w:widowControl/>
              <w:spacing w:after="156" w:afterLines="50" w:line="360" w:lineRule="auto"/>
              <w:ind w:firstLine="0" w:firstLineChars="0"/>
              <w:jc w:val="left"/>
              <w:rPr>
                <w:rFonts w:ascii="宋体" w:hAnsi="宋体" w:eastAsia="宋体"/>
                <w:color w:val="auto"/>
                <w:szCs w:val="18"/>
              </w:rPr>
            </w:pPr>
          </w:p>
        </w:tc>
        <w:tc>
          <w:tcPr>
            <w:tcW w:w="1275" w:type="dxa"/>
            <w:vAlign w:val="center"/>
          </w:tcPr>
          <w:p w14:paraId="1F8069B8">
            <w:pPr>
              <w:pStyle w:val="13"/>
              <w:widowControl/>
              <w:spacing w:after="156" w:afterLines="50" w:line="360" w:lineRule="auto"/>
              <w:ind w:firstLine="0" w:firstLineChars="0"/>
              <w:jc w:val="left"/>
              <w:rPr>
                <w:color w:val="auto"/>
              </w:rPr>
            </w:pPr>
          </w:p>
        </w:tc>
      </w:tr>
      <w:tr w14:paraId="41888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10773" w:type="dxa"/>
            <w:gridSpan w:val="8"/>
          </w:tcPr>
          <w:p w14:paraId="6F5F9949">
            <w:pPr>
              <w:pStyle w:val="13"/>
              <w:widowControl/>
              <w:spacing w:after="156" w:afterLines="50" w:line="360" w:lineRule="auto"/>
              <w:ind w:firstLine="0" w:firstLineChars="0"/>
              <w:jc w:val="left"/>
              <w:rPr>
                <w:rFonts w:hint="eastAsia" w:ascii="宋体" w:hAnsi="宋体" w:eastAsia="宋体"/>
                <w:b/>
                <w:color w:val="auto"/>
                <w:szCs w:val="18"/>
                <w:lang w:eastAsia="zh-CN"/>
              </w:rPr>
            </w:pPr>
            <w:r>
              <w:rPr>
                <w:rFonts w:hint="eastAsia" w:ascii="宋体" w:hAnsi="宋体" w:eastAsia="宋体"/>
                <w:b/>
                <w:color w:val="auto"/>
                <w:szCs w:val="18"/>
              </w:rPr>
              <w:t>服务费用总价：人民币</w:t>
            </w:r>
            <w:r>
              <w:rPr>
                <w:rFonts w:ascii="宋体" w:hAnsi="宋体" w:eastAsia="宋体"/>
                <w:b/>
                <w:color w:val="auto"/>
                <w:szCs w:val="18"/>
              </w:rPr>
              <w:t xml:space="preserve">    </w:t>
            </w:r>
            <w:r>
              <w:rPr>
                <w:rFonts w:hint="eastAsia" w:ascii="宋体" w:hAnsi="宋体" w:eastAsia="宋体"/>
                <w:b/>
                <w:color w:val="auto"/>
                <w:szCs w:val="18"/>
              </w:rPr>
              <w:t>元（大写</w:t>
            </w:r>
            <w:r>
              <w:rPr>
                <w:rFonts w:ascii="宋体" w:hAnsi="宋体" w:eastAsia="宋体"/>
                <w:b/>
                <w:color w:val="auto"/>
                <w:szCs w:val="18"/>
              </w:rPr>
              <w:t>:</w:t>
            </w:r>
            <w:bookmarkStart w:id="1" w:name="合同报价总计大写"/>
            <w:r>
              <w:rPr>
                <w:rFonts w:ascii="宋体" w:hAnsi="宋体" w:eastAsia="宋体"/>
                <w:b/>
                <w:color w:val="auto"/>
                <w:szCs w:val="18"/>
              </w:rPr>
              <w:t xml:space="preserve">     </w:t>
            </w:r>
            <w:r>
              <w:rPr>
                <w:rFonts w:hint="eastAsia" w:ascii="宋体" w:hAnsi="宋体" w:eastAsia="宋体"/>
                <w:b/>
                <w:color w:val="auto"/>
                <w:szCs w:val="18"/>
              </w:rPr>
              <w:t>元整</w:t>
            </w:r>
            <w:bookmarkEnd w:id="1"/>
            <w:r>
              <w:rPr>
                <w:rFonts w:hint="eastAsia" w:ascii="宋体" w:hAnsi="宋体" w:eastAsia="宋体"/>
                <w:b/>
                <w:color w:val="auto"/>
                <w:szCs w:val="18"/>
              </w:rPr>
              <w:t>）</w:t>
            </w:r>
            <w:r>
              <w:rPr>
                <w:rFonts w:hint="eastAsia" w:ascii="宋体" w:hAnsi="宋体" w:eastAsia="宋体"/>
                <w:b/>
                <w:color w:val="auto"/>
                <w:szCs w:val="18"/>
                <w:lang w:eastAsia="zh-CN"/>
              </w:rPr>
              <w:t>。</w:t>
            </w:r>
          </w:p>
        </w:tc>
      </w:tr>
    </w:tbl>
    <w:p w14:paraId="2CF4E22A">
      <w:pPr>
        <w:pStyle w:val="13"/>
        <w:widowControl/>
        <w:numPr>
          <w:ilvl w:val="0"/>
          <w:numId w:val="1"/>
        </w:numPr>
        <w:spacing w:after="156" w:afterLines="50" w:line="360" w:lineRule="auto"/>
        <w:ind w:firstLineChars="0"/>
        <w:rPr>
          <w:rFonts w:ascii="宋体" w:hAnsi="宋体" w:eastAsia="宋体"/>
          <w:b/>
          <w:color w:val="auto"/>
          <w:szCs w:val="21"/>
        </w:rPr>
      </w:pPr>
      <w:r>
        <w:rPr>
          <w:rFonts w:hint="eastAsia" w:ascii="宋体" w:hAnsi="宋体" w:eastAsia="宋体"/>
          <w:b/>
          <w:color w:val="auto"/>
          <w:szCs w:val="21"/>
        </w:rPr>
        <w:t>维保服务内容</w:t>
      </w:r>
    </w:p>
    <w:p w14:paraId="4995253F">
      <w:pPr>
        <w:pStyle w:val="13"/>
        <w:widowControl/>
        <w:numPr>
          <w:ilvl w:val="0"/>
          <w:numId w:val="2"/>
        </w:numPr>
        <w:spacing w:after="156" w:afterLines="50" w:line="360" w:lineRule="auto"/>
        <w:ind w:firstLineChars="0"/>
        <w:rPr>
          <w:rFonts w:ascii="宋体" w:hAnsi="宋体" w:eastAsia="宋体"/>
          <w:color w:val="auto"/>
          <w:szCs w:val="21"/>
        </w:rPr>
      </w:pPr>
      <w:r>
        <w:rPr>
          <w:rFonts w:hint="eastAsia" w:ascii="宋体" w:hAnsi="宋体" w:eastAsia="宋体"/>
          <w:color w:val="auto"/>
          <w:szCs w:val="21"/>
        </w:rPr>
        <w:t>在甲方按约定支付每期维保服务费的前提下，乙方承诺在维保服务期内提供下列服务：</w:t>
      </w:r>
    </w:p>
    <w:p w14:paraId="79C2C05E">
      <w:pPr>
        <w:pStyle w:val="13"/>
        <w:widowControl/>
        <w:numPr>
          <w:ilvl w:val="0"/>
          <w:numId w:val="3"/>
        </w:numPr>
        <w:spacing w:after="156" w:afterLines="50" w:line="360" w:lineRule="auto"/>
        <w:ind w:firstLineChars="0"/>
        <w:rPr>
          <w:rFonts w:ascii="宋体" w:hAnsi="宋体" w:eastAsia="宋体"/>
          <w:color w:val="auto"/>
          <w:szCs w:val="21"/>
        </w:rPr>
      </w:pPr>
      <w:r>
        <w:rPr>
          <w:rFonts w:hint="eastAsia" w:ascii="宋体" w:hAnsi="宋体" w:eastAsia="宋体"/>
          <w:color w:val="auto"/>
          <w:szCs w:val="21"/>
        </w:rPr>
        <w:t>设备维修；</w:t>
      </w:r>
    </w:p>
    <w:p w14:paraId="3F5AD839">
      <w:pPr>
        <w:pStyle w:val="13"/>
        <w:widowControl/>
        <w:numPr>
          <w:ilvl w:val="0"/>
          <w:numId w:val="3"/>
        </w:numPr>
        <w:spacing w:after="156" w:afterLines="50" w:line="360" w:lineRule="auto"/>
        <w:ind w:firstLineChars="0"/>
        <w:rPr>
          <w:rFonts w:ascii="宋体" w:hAnsi="宋体" w:eastAsia="宋体"/>
          <w:color w:val="auto"/>
          <w:szCs w:val="21"/>
        </w:rPr>
      </w:pPr>
      <w:r>
        <w:rPr>
          <w:rFonts w:hint="eastAsia" w:ascii="宋体" w:hAnsi="宋体" w:eastAsia="宋体"/>
          <w:color w:val="auto"/>
          <w:szCs w:val="21"/>
        </w:rPr>
        <w:t>提供维修中所需备件（不包含本合同其他条款中明确除外的备件）；</w:t>
      </w:r>
    </w:p>
    <w:p w14:paraId="1B25E923">
      <w:pPr>
        <w:pStyle w:val="13"/>
        <w:widowControl/>
        <w:numPr>
          <w:ilvl w:val="0"/>
          <w:numId w:val="3"/>
        </w:numPr>
        <w:spacing w:after="156" w:afterLines="50" w:line="360" w:lineRule="auto"/>
        <w:ind w:firstLineChars="0"/>
        <w:rPr>
          <w:rFonts w:ascii="宋体" w:hAnsi="宋体" w:eastAsia="宋体"/>
          <w:color w:val="auto"/>
          <w:szCs w:val="21"/>
        </w:rPr>
      </w:pPr>
      <w:r>
        <w:rPr>
          <w:rFonts w:hint="eastAsia" w:ascii="宋体" w:hAnsi="宋体" w:eastAsia="宋体"/>
          <w:color w:val="auto"/>
          <w:szCs w:val="21"/>
        </w:rPr>
        <w:t>安全检查：制定检查计划、机械安全检查、电器安全检查、记录检查结果；</w:t>
      </w:r>
    </w:p>
    <w:p w14:paraId="186DA2CF">
      <w:pPr>
        <w:pStyle w:val="13"/>
        <w:widowControl/>
        <w:numPr>
          <w:ilvl w:val="0"/>
          <w:numId w:val="3"/>
        </w:numPr>
        <w:spacing w:after="156" w:afterLines="50" w:line="360" w:lineRule="auto"/>
        <w:ind w:firstLineChars="0"/>
        <w:rPr>
          <w:rFonts w:ascii="宋体" w:hAnsi="宋体" w:eastAsia="宋体"/>
          <w:color w:val="auto"/>
          <w:szCs w:val="21"/>
        </w:rPr>
      </w:pPr>
      <w:r>
        <w:rPr>
          <w:rFonts w:hint="eastAsia" w:ascii="宋体" w:hAnsi="宋体" w:eastAsia="宋体"/>
          <w:color w:val="auto"/>
          <w:szCs w:val="21"/>
        </w:rPr>
        <w:t>质量检查：检查图像质量（效果）、评判参数结果、调整/校准至原厂家质量标准、记录设备质量报告；</w:t>
      </w:r>
    </w:p>
    <w:p w14:paraId="410B906D">
      <w:pPr>
        <w:pStyle w:val="13"/>
        <w:widowControl/>
        <w:numPr>
          <w:ilvl w:val="0"/>
          <w:numId w:val="3"/>
        </w:numPr>
        <w:spacing w:after="156" w:afterLines="50" w:line="360" w:lineRule="auto"/>
        <w:ind w:firstLineChars="0"/>
        <w:rPr>
          <w:rFonts w:ascii="宋体" w:hAnsi="宋体" w:eastAsia="宋体"/>
          <w:color w:val="auto"/>
          <w:szCs w:val="21"/>
        </w:rPr>
      </w:pPr>
      <w:r>
        <w:rPr>
          <w:rFonts w:hint="eastAsia" w:ascii="宋体" w:hAnsi="宋体" w:eastAsia="宋体"/>
          <w:color w:val="auto"/>
          <w:szCs w:val="21"/>
        </w:rPr>
        <w:t>提供预防性保养（</w:t>
      </w:r>
      <w:bookmarkStart w:id="2" w:name="书签21：保养次数"/>
      <w:r>
        <w:rPr>
          <w:rFonts w:hint="eastAsia" w:ascii="宋体" w:hAnsi="宋体" w:eastAsia="宋体"/>
          <w:color w:val="auto"/>
          <w:szCs w:val="21"/>
          <w:lang w:eastAsia="zh"/>
        </w:rPr>
        <w:t>2</w:t>
      </w:r>
      <w:bookmarkEnd w:id="2"/>
      <w:r>
        <w:rPr>
          <w:rFonts w:hint="eastAsia" w:ascii="宋体" w:hAnsi="宋体" w:eastAsia="宋体"/>
          <w:color w:val="auto"/>
          <w:szCs w:val="21"/>
        </w:rPr>
        <w:t>次/合同年度）及保养耗材。</w:t>
      </w:r>
    </w:p>
    <w:p w14:paraId="73B08C65">
      <w:pPr>
        <w:pStyle w:val="13"/>
        <w:widowControl/>
        <w:numPr>
          <w:ilvl w:val="0"/>
          <w:numId w:val="3"/>
        </w:numPr>
        <w:spacing w:after="156" w:afterLines="50" w:line="360" w:lineRule="auto"/>
        <w:ind w:firstLineChars="0"/>
        <w:rPr>
          <w:rFonts w:ascii="宋体" w:hAnsi="宋体" w:eastAsia="宋体"/>
          <w:color w:val="auto"/>
          <w:szCs w:val="21"/>
        </w:rPr>
      </w:pPr>
      <w:r>
        <w:rPr>
          <w:rFonts w:hint="eastAsia" w:ascii="宋体" w:hAnsi="宋体" w:eastAsia="宋体"/>
          <w:color w:val="auto"/>
          <w:szCs w:val="21"/>
        </w:rPr>
        <w:t>保证95%的开机率。</w:t>
      </w:r>
    </w:p>
    <w:p w14:paraId="3623A05B">
      <w:pPr>
        <w:pStyle w:val="13"/>
        <w:widowControl/>
        <w:numPr>
          <w:ilvl w:val="0"/>
          <w:numId w:val="3"/>
        </w:numPr>
        <w:spacing w:after="156" w:afterLines="50" w:line="360" w:lineRule="auto"/>
        <w:ind w:firstLineChars="0"/>
        <w:rPr>
          <w:rFonts w:ascii="宋体" w:hAnsi="宋体" w:eastAsia="宋体"/>
          <w:color w:val="auto"/>
          <w:szCs w:val="21"/>
        </w:rPr>
      </w:pPr>
      <w:r>
        <w:rPr>
          <w:rFonts w:hint="eastAsia" w:ascii="宋体" w:hAnsi="宋体" w:eastAsia="宋体"/>
          <w:color w:val="auto"/>
          <w:szCs w:val="21"/>
        </w:rPr>
        <w:t>包含水冷机组及精密空调。</w:t>
      </w:r>
    </w:p>
    <w:p w14:paraId="570706FC">
      <w:pPr>
        <w:pStyle w:val="13"/>
        <w:widowControl/>
        <w:numPr>
          <w:ilvl w:val="0"/>
          <w:numId w:val="2"/>
        </w:numPr>
        <w:spacing w:after="156" w:afterLines="50" w:line="360" w:lineRule="auto"/>
        <w:ind w:firstLineChars="0"/>
        <w:rPr>
          <w:rFonts w:ascii="宋体" w:hAnsi="宋体" w:eastAsia="宋体"/>
          <w:color w:val="auto"/>
          <w:szCs w:val="21"/>
        </w:rPr>
      </w:pPr>
      <w:r>
        <w:rPr>
          <w:rFonts w:hint="eastAsia" w:ascii="宋体" w:hAnsi="宋体" w:eastAsia="宋体"/>
          <w:color w:val="auto"/>
          <w:szCs w:val="21"/>
        </w:rPr>
        <w:t>本合同未包括如下服务内容</w:t>
      </w:r>
      <w:r>
        <w:rPr>
          <w:rFonts w:hint="eastAsia"/>
          <w:b/>
          <w:i/>
          <w:color w:val="auto"/>
          <w:lang w:val="en-GB"/>
        </w:rPr>
        <w:t>：</w:t>
      </w:r>
    </w:p>
    <w:p w14:paraId="43A3DAF9">
      <w:pPr>
        <w:pStyle w:val="13"/>
        <w:widowControl/>
        <w:numPr>
          <w:ilvl w:val="0"/>
          <w:numId w:val="4"/>
        </w:numPr>
        <w:spacing w:after="156" w:afterLines="50" w:line="360" w:lineRule="auto"/>
        <w:ind w:firstLineChars="0"/>
        <w:rPr>
          <w:rFonts w:ascii="宋体" w:hAnsi="宋体" w:eastAsia="宋体"/>
          <w:color w:val="auto"/>
          <w:szCs w:val="21"/>
        </w:rPr>
      </w:pPr>
      <w:r>
        <w:rPr>
          <w:rFonts w:hint="eastAsia" w:ascii="宋体" w:hAnsi="宋体" w:eastAsia="宋体"/>
          <w:color w:val="auto"/>
          <w:szCs w:val="21"/>
        </w:rPr>
        <w:t>处理设备表面的损伤或设备自然损耗；</w:t>
      </w:r>
    </w:p>
    <w:p w14:paraId="25AA5DDD">
      <w:pPr>
        <w:pStyle w:val="13"/>
        <w:widowControl/>
        <w:numPr>
          <w:ilvl w:val="0"/>
          <w:numId w:val="4"/>
        </w:numPr>
        <w:spacing w:after="156" w:afterLines="50" w:line="360" w:lineRule="auto"/>
        <w:ind w:firstLineChars="0"/>
        <w:rPr>
          <w:rFonts w:ascii="宋体" w:hAnsi="宋体" w:eastAsia="宋体"/>
          <w:color w:val="auto"/>
          <w:szCs w:val="21"/>
        </w:rPr>
      </w:pPr>
      <w:r>
        <w:rPr>
          <w:rFonts w:hint="eastAsia" w:ascii="宋体" w:hAnsi="宋体" w:eastAsia="宋体"/>
          <w:color w:val="auto"/>
          <w:szCs w:val="21"/>
        </w:rPr>
        <w:t>附件及易耗品；</w:t>
      </w:r>
    </w:p>
    <w:p w14:paraId="13DFB6B7">
      <w:pPr>
        <w:pStyle w:val="13"/>
        <w:widowControl/>
        <w:numPr>
          <w:ilvl w:val="0"/>
          <w:numId w:val="4"/>
        </w:numPr>
        <w:spacing w:after="156" w:afterLines="50" w:line="360" w:lineRule="auto"/>
        <w:ind w:firstLineChars="0"/>
        <w:rPr>
          <w:rFonts w:ascii="宋体" w:hAnsi="宋体" w:eastAsia="宋体"/>
          <w:color w:val="auto"/>
          <w:szCs w:val="21"/>
        </w:rPr>
      </w:pPr>
      <w:r>
        <w:rPr>
          <w:rFonts w:hint="eastAsia" w:ascii="宋体" w:hAnsi="宋体" w:eastAsia="宋体"/>
          <w:color w:val="auto"/>
          <w:szCs w:val="21"/>
        </w:rPr>
        <w:t>设备拆机、翻新、重装、迁移、搬动等；</w:t>
      </w:r>
    </w:p>
    <w:p w14:paraId="087139EA">
      <w:pPr>
        <w:pStyle w:val="13"/>
        <w:widowControl/>
        <w:numPr>
          <w:ilvl w:val="0"/>
          <w:numId w:val="4"/>
        </w:numPr>
        <w:spacing w:after="156" w:afterLines="50" w:line="360" w:lineRule="auto"/>
        <w:ind w:firstLineChars="0"/>
        <w:rPr>
          <w:rFonts w:ascii="宋体" w:hAnsi="宋体" w:eastAsia="宋体"/>
          <w:color w:val="auto"/>
          <w:szCs w:val="21"/>
        </w:rPr>
      </w:pPr>
      <w:r>
        <w:rPr>
          <w:rFonts w:hint="eastAsia" w:ascii="宋体" w:hAnsi="宋体" w:eastAsia="宋体"/>
          <w:color w:val="auto"/>
          <w:szCs w:val="21"/>
        </w:rPr>
        <w:t>非乙方生产的产品</w:t>
      </w:r>
      <w:r>
        <w:rPr>
          <w:rFonts w:hint="eastAsia" w:ascii="宋体" w:hAnsi="宋体" w:eastAsia="宋体"/>
          <w:color w:val="auto"/>
          <w:szCs w:val="21"/>
          <w:lang w:eastAsia="zh"/>
        </w:rPr>
        <w:t>（如工作站、激光打印机、洗片机、精密空调、水冷机、高压注射器等）</w:t>
      </w:r>
      <w:r>
        <w:rPr>
          <w:rFonts w:hint="eastAsia" w:ascii="宋体" w:hAnsi="宋体" w:eastAsia="宋体"/>
          <w:color w:val="auto"/>
          <w:szCs w:val="21"/>
        </w:rPr>
        <w:t>的维修和保养等。</w:t>
      </w:r>
    </w:p>
    <w:p w14:paraId="7AC778A8">
      <w:pPr>
        <w:pStyle w:val="13"/>
        <w:widowControl/>
        <w:numPr>
          <w:ilvl w:val="0"/>
          <w:numId w:val="1"/>
        </w:numPr>
        <w:spacing w:after="156" w:afterLines="50" w:line="360" w:lineRule="auto"/>
        <w:ind w:firstLineChars="0"/>
        <w:rPr>
          <w:rFonts w:ascii="宋体" w:hAnsi="宋体" w:eastAsia="宋体"/>
          <w:b/>
          <w:color w:val="auto"/>
          <w:szCs w:val="21"/>
        </w:rPr>
      </w:pPr>
      <w:r>
        <w:rPr>
          <w:rFonts w:hint="eastAsia" w:ascii="宋体" w:hAnsi="宋体" w:eastAsia="宋体"/>
          <w:b/>
          <w:color w:val="auto"/>
          <w:szCs w:val="21"/>
        </w:rPr>
        <w:t>维保服务费支付方式</w:t>
      </w:r>
    </w:p>
    <w:p w14:paraId="680D5103">
      <w:pPr>
        <w:pStyle w:val="20"/>
        <w:widowControl/>
        <w:numPr>
          <w:ilvl w:val="0"/>
          <w:numId w:val="0"/>
        </w:numPr>
        <w:spacing w:after="156" w:afterLines="50" w:line="360" w:lineRule="auto"/>
        <w:ind w:left="426" w:leftChars="0" w:hanging="426" w:firstLineChars="0"/>
        <w:rPr>
          <w:rFonts w:hint="eastAsia"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3.1</w:t>
      </w:r>
      <w:r>
        <w:rPr>
          <w:rFonts w:hint="eastAsia" w:ascii="宋体" w:hAnsi="宋体" w:eastAsia="宋体"/>
          <w:color w:val="auto"/>
          <w:szCs w:val="21"/>
        </w:rPr>
        <w:t xml:space="preserve">付款方式 </w:t>
      </w:r>
      <w:r>
        <w:rPr>
          <w:rFonts w:hint="eastAsia" w:ascii="宋体" w:hAnsi="宋体" w:eastAsia="宋体"/>
          <w:color w:val="auto"/>
          <w:szCs w:val="21"/>
          <w:lang w:eastAsia="zh-CN"/>
        </w:rPr>
        <w:t>：</w:t>
      </w:r>
      <w:r>
        <w:rPr>
          <w:rFonts w:hint="eastAsia" w:ascii="宋体" w:hAnsi="宋体" w:eastAsia="宋体" w:cstheme="minorBidi"/>
          <w:color w:val="auto"/>
          <w:kern w:val="2"/>
          <w:sz w:val="21"/>
          <w:szCs w:val="21"/>
          <w:lang w:val="en-US" w:eastAsia="zh-CN" w:bidi="ar-SA"/>
        </w:rPr>
        <w:t>合同签订后，乙方需开具全额税务发票，采购项目经甲方验收合格后一个月支付合同总价款的40%，验收合格后六个月付合同总价款的30%，质保期满后一个月支付合同总价款的30%。</w:t>
      </w:r>
    </w:p>
    <w:p w14:paraId="28C9A4A5">
      <w:pPr>
        <w:pStyle w:val="20"/>
        <w:widowControl/>
        <w:numPr>
          <w:ilvl w:val="0"/>
          <w:numId w:val="0"/>
        </w:numPr>
        <w:spacing w:after="156" w:afterLines="50" w:line="360" w:lineRule="auto"/>
        <w:ind w:left="567" w:leftChars="0" w:hanging="567" w:firstLineChars="0"/>
        <w:rPr>
          <w:rFonts w:ascii="宋体" w:hAnsi="宋体" w:eastAsia="宋体"/>
          <w:color w:val="auto"/>
          <w:szCs w:val="21"/>
        </w:rPr>
      </w:pPr>
      <w:r>
        <w:rPr>
          <w:rFonts w:hint="eastAsia" w:ascii="宋体" w:hAnsi="宋体" w:eastAsia="宋体" w:cstheme="minorBidi"/>
          <w:color w:val="auto"/>
          <w:kern w:val="2"/>
          <w:sz w:val="21"/>
          <w:szCs w:val="21"/>
          <w:lang w:val="en-US" w:eastAsia="zh-CN" w:bidi="ar-SA"/>
        </w:rPr>
        <w:t>3.2</w:t>
      </w:r>
      <w:r>
        <w:rPr>
          <w:rFonts w:hint="eastAsia" w:ascii="宋体" w:hAnsi="宋体" w:eastAsia="宋体"/>
          <w:color w:val="auto"/>
          <w:szCs w:val="21"/>
        </w:rPr>
        <w:t xml:space="preserve">乙方收款账号信息： </w:t>
      </w:r>
    </w:p>
    <w:p w14:paraId="5ABE23BC">
      <w:pPr>
        <w:widowControl/>
        <w:spacing w:after="156" w:afterLines="50" w:line="360" w:lineRule="auto"/>
        <w:ind w:left="422" w:leftChars="201" w:firstLine="426" w:firstLineChars="203"/>
        <w:rPr>
          <w:rFonts w:ascii="宋体" w:hAnsi="宋体" w:eastAsia="宋体"/>
          <w:color w:val="auto"/>
          <w:szCs w:val="21"/>
        </w:rPr>
      </w:pPr>
      <w:r>
        <w:rPr>
          <w:rFonts w:hint="eastAsia" w:ascii="宋体" w:hAnsi="宋体" w:eastAsia="宋体"/>
          <w:color w:val="auto"/>
          <w:szCs w:val="21"/>
        </w:rPr>
        <w:t>收款单位：</w:t>
      </w:r>
      <w:r>
        <w:rPr>
          <w:rFonts w:ascii="宋体" w:hAnsi="宋体" w:eastAsia="宋体"/>
          <w:color w:val="auto"/>
          <w:szCs w:val="21"/>
        </w:rPr>
        <w:t xml:space="preserve"> </w:t>
      </w:r>
    </w:p>
    <w:p w14:paraId="4B6DBC50">
      <w:pPr>
        <w:autoSpaceDE w:val="0"/>
        <w:autoSpaceDN w:val="0"/>
        <w:adjustRightInd w:val="0"/>
        <w:spacing w:after="156" w:afterLines="50" w:line="360" w:lineRule="auto"/>
        <w:ind w:left="422" w:leftChars="201" w:firstLine="426" w:firstLineChars="203"/>
        <w:rPr>
          <w:rFonts w:ascii="宋体" w:hAnsi="宋体" w:eastAsia="宋体"/>
          <w:color w:val="auto"/>
          <w:szCs w:val="21"/>
        </w:rPr>
      </w:pPr>
      <w:r>
        <w:rPr>
          <w:rFonts w:hint="eastAsia" w:ascii="宋体" w:hAnsi="宋体" w:eastAsia="宋体"/>
          <w:color w:val="auto"/>
          <w:szCs w:val="21"/>
        </w:rPr>
        <w:t>开户行：</w:t>
      </w:r>
    </w:p>
    <w:p w14:paraId="4BDE1ACF">
      <w:pPr>
        <w:autoSpaceDE w:val="0"/>
        <w:autoSpaceDN w:val="0"/>
        <w:adjustRightInd w:val="0"/>
        <w:spacing w:after="156" w:afterLines="50" w:line="360" w:lineRule="auto"/>
        <w:ind w:left="422" w:leftChars="201" w:firstLine="426" w:firstLineChars="203"/>
        <w:rPr>
          <w:rFonts w:ascii="宋体" w:hAnsi="宋体" w:eastAsia="宋体"/>
          <w:color w:val="auto"/>
          <w:szCs w:val="21"/>
        </w:rPr>
      </w:pPr>
      <w:r>
        <w:rPr>
          <w:rFonts w:hint="eastAsia" w:ascii="宋体" w:hAnsi="宋体" w:eastAsia="宋体"/>
          <w:color w:val="auto"/>
          <w:szCs w:val="21"/>
        </w:rPr>
        <w:t>账号：</w:t>
      </w:r>
    </w:p>
    <w:p w14:paraId="22B7578F">
      <w:pPr>
        <w:autoSpaceDE w:val="0"/>
        <w:autoSpaceDN w:val="0"/>
        <w:adjustRightInd w:val="0"/>
        <w:spacing w:after="156" w:afterLines="50" w:line="360" w:lineRule="auto"/>
        <w:ind w:left="422" w:leftChars="201" w:firstLine="426" w:firstLineChars="203"/>
        <w:rPr>
          <w:rFonts w:ascii="宋体" w:hAnsi="宋体" w:eastAsia="宋体"/>
          <w:color w:val="auto"/>
          <w:szCs w:val="21"/>
        </w:rPr>
      </w:pPr>
      <w:r>
        <w:rPr>
          <w:rFonts w:hint="eastAsia" w:ascii="宋体" w:hAnsi="宋体" w:eastAsia="宋体"/>
          <w:color w:val="auto"/>
          <w:szCs w:val="21"/>
        </w:rPr>
        <w:t>税号：</w:t>
      </w:r>
    </w:p>
    <w:p w14:paraId="6EA6D30D">
      <w:pPr>
        <w:autoSpaceDE w:val="0"/>
        <w:autoSpaceDN w:val="0"/>
        <w:adjustRightInd w:val="0"/>
        <w:spacing w:after="156" w:afterLines="50" w:line="360" w:lineRule="auto"/>
        <w:ind w:left="422" w:leftChars="201" w:firstLine="426" w:firstLineChars="203"/>
        <w:rPr>
          <w:rFonts w:ascii="宋体" w:hAnsi="宋体" w:eastAsia="宋体"/>
          <w:color w:val="auto"/>
          <w:szCs w:val="21"/>
        </w:rPr>
      </w:pPr>
      <w:r>
        <w:rPr>
          <w:rFonts w:hint="eastAsia" w:ascii="宋体" w:hAnsi="宋体" w:eastAsia="宋体"/>
          <w:color w:val="auto"/>
          <w:szCs w:val="21"/>
        </w:rPr>
        <w:t>甲方开票信息：</w:t>
      </w:r>
    </w:p>
    <w:p w14:paraId="10FB8C37">
      <w:pPr>
        <w:autoSpaceDE w:val="0"/>
        <w:autoSpaceDN w:val="0"/>
        <w:adjustRightInd w:val="0"/>
        <w:spacing w:after="156" w:afterLines="50" w:line="360" w:lineRule="auto"/>
        <w:ind w:left="422" w:leftChars="201" w:firstLine="426" w:firstLineChars="203"/>
        <w:rPr>
          <w:rFonts w:ascii="宋体" w:hAnsi="宋体" w:eastAsia="宋体"/>
          <w:color w:val="auto"/>
          <w:szCs w:val="21"/>
        </w:rPr>
      </w:pPr>
      <w:r>
        <w:rPr>
          <w:rFonts w:hint="eastAsia" w:ascii="宋体" w:hAnsi="宋体" w:eastAsia="宋体"/>
          <w:color w:val="auto"/>
          <w:szCs w:val="21"/>
        </w:rPr>
        <w:t>公司名称：</w:t>
      </w:r>
    </w:p>
    <w:p w14:paraId="5A22101F">
      <w:pPr>
        <w:pStyle w:val="20"/>
        <w:widowControl/>
        <w:numPr>
          <w:ilvl w:val="0"/>
          <w:numId w:val="0"/>
        </w:numPr>
        <w:spacing w:after="156" w:afterLines="50" w:line="360" w:lineRule="auto"/>
        <w:ind w:left="567" w:leftChars="0" w:hanging="567" w:firstLineChars="0"/>
        <w:rPr>
          <w:rFonts w:ascii="宋体" w:hAnsi="宋体" w:eastAsia="宋体"/>
          <w:color w:val="auto"/>
          <w:szCs w:val="21"/>
        </w:rPr>
      </w:pPr>
      <w:r>
        <w:rPr>
          <w:rFonts w:hint="eastAsia" w:ascii="宋体" w:hAnsi="宋体" w:eastAsia="宋体" w:cstheme="minorBidi"/>
          <w:color w:val="auto"/>
          <w:kern w:val="2"/>
          <w:sz w:val="21"/>
          <w:szCs w:val="21"/>
          <w:lang w:val="en-US" w:eastAsia="zh-CN" w:bidi="ar-SA"/>
        </w:rPr>
        <w:t>3.3</w:t>
      </w:r>
      <w:r>
        <w:rPr>
          <w:rFonts w:hint="eastAsia" w:ascii="宋体" w:hAnsi="宋体" w:eastAsia="宋体"/>
          <w:color w:val="auto"/>
          <w:szCs w:val="21"/>
        </w:rPr>
        <w:t xml:space="preserve">甲方应严格按照上述约定向乙方及时足额支付维保服务费用，如甲方未及时足额支付维保服务费的或者最终用户未按本合同约定提供相应维保条件的，则乙方有权中止/暂停提供维保服务。 </w:t>
      </w:r>
      <w:r>
        <w:rPr>
          <w:rFonts w:hint="eastAsia" w:ascii="宋体" w:hAnsi="宋体" w:eastAsia="宋体"/>
          <w:color w:val="auto"/>
          <w:szCs w:val="21"/>
        </w:rPr>
        <w:t>若甲方逾期支付任一期限的服务费，经乙方书面催告后【】个工作日内仍未足额支付的，乙方有权暂停提供维保服务。暂停服务期间，维保服务期限相应顺延。甲方付清所有逾期款项及相应违约金后，乙方应在【】个工作日内恢复服务。</w:t>
      </w:r>
    </w:p>
    <w:p w14:paraId="67D15FA8">
      <w:pPr>
        <w:pStyle w:val="13"/>
        <w:widowControl/>
        <w:numPr>
          <w:ilvl w:val="0"/>
          <w:numId w:val="1"/>
        </w:numPr>
        <w:spacing w:after="156" w:afterLines="50" w:line="360" w:lineRule="auto"/>
        <w:ind w:firstLineChars="0"/>
        <w:rPr>
          <w:rFonts w:ascii="宋体" w:hAnsi="宋体" w:eastAsia="宋体"/>
          <w:b/>
          <w:color w:val="auto"/>
          <w:szCs w:val="21"/>
        </w:rPr>
      </w:pPr>
      <w:r>
        <w:rPr>
          <w:rFonts w:hint="eastAsia" w:ascii="宋体" w:hAnsi="宋体" w:eastAsia="宋体"/>
          <w:b/>
          <w:color w:val="auto"/>
          <w:szCs w:val="21"/>
        </w:rPr>
        <w:t>其他</w:t>
      </w:r>
    </w:p>
    <w:p w14:paraId="664FAD89">
      <w:pPr>
        <w:pStyle w:val="20"/>
        <w:widowControl/>
        <w:numPr>
          <w:ilvl w:val="0"/>
          <w:numId w:val="5"/>
        </w:numPr>
        <w:spacing w:after="156" w:afterLines="50" w:line="360" w:lineRule="auto"/>
        <w:ind w:left="567" w:hanging="567" w:firstLineChars="0"/>
        <w:rPr>
          <w:rFonts w:ascii="宋体" w:hAnsi="宋体" w:eastAsia="宋体"/>
          <w:color w:val="auto"/>
          <w:szCs w:val="21"/>
        </w:rPr>
      </w:pPr>
      <w:r>
        <w:rPr>
          <w:rFonts w:hint="eastAsia" w:ascii="宋体" w:hAnsi="宋体" w:eastAsia="宋体"/>
          <w:color w:val="auto"/>
          <w:szCs w:val="21"/>
        </w:rPr>
        <w:t>附件《一般条款》作为本合同的组成部分，对双方都具有约束力。</w:t>
      </w:r>
    </w:p>
    <w:p w14:paraId="19C14421">
      <w:pPr>
        <w:pStyle w:val="20"/>
        <w:widowControl/>
        <w:numPr>
          <w:ilvl w:val="0"/>
          <w:numId w:val="5"/>
        </w:numPr>
        <w:spacing w:after="156" w:afterLines="50" w:line="360" w:lineRule="auto"/>
        <w:ind w:left="567" w:hanging="567" w:firstLineChars="0"/>
        <w:rPr>
          <w:rFonts w:ascii="宋体" w:hAnsi="宋体" w:eastAsia="宋体"/>
          <w:color w:val="auto"/>
          <w:szCs w:val="21"/>
        </w:rPr>
      </w:pPr>
      <w:r>
        <w:rPr>
          <w:rFonts w:hint="eastAsia" w:ascii="宋体" w:hAnsi="宋体" w:eastAsia="宋体"/>
          <w:color w:val="auto"/>
          <w:szCs w:val="21"/>
        </w:rPr>
        <w:t>本合同自双方盖章之日起生效，本合同一式</w:t>
      </w:r>
      <w:r>
        <w:rPr>
          <w:rFonts w:hint="eastAsia" w:ascii="宋体" w:hAnsi="宋体" w:eastAsia="宋体"/>
          <w:color w:val="auto"/>
          <w:szCs w:val="21"/>
          <w:lang w:val="en-US" w:eastAsia="zh-CN"/>
        </w:rPr>
        <w:t>4</w:t>
      </w:r>
      <w:r>
        <w:rPr>
          <w:rFonts w:hint="eastAsia" w:ascii="宋体" w:hAnsi="宋体" w:eastAsia="宋体"/>
          <w:color w:val="auto"/>
          <w:szCs w:val="21"/>
        </w:rPr>
        <w:t>份，</w:t>
      </w:r>
      <w:r>
        <w:rPr>
          <w:rFonts w:hint="eastAsia" w:ascii="宋体" w:hAnsi="宋体" w:eastAsia="宋体"/>
          <w:color w:val="auto"/>
          <w:szCs w:val="21"/>
          <w:lang w:eastAsia="zh-CN"/>
        </w:rPr>
        <w:t>甲方执</w:t>
      </w:r>
      <w:r>
        <w:rPr>
          <w:rFonts w:hint="eastAsia" w:ascii="宋体" w:hAnsi="宋体" w:eastAsia="宋体"/>
          <w:color w:val="auto"/>
          <w:szCs w:val="21"/>
          <w:lang w:val="en-US" w:eastAsia="zh-CN"/>
        </w:rPr>
        <w:t>3份，乙方执1份，</w:t>
      </w:r>
      <w:r>
        <w:rPr>
          <w:rFonts w:hint="eastAsia" w:ascii="宋体" w:hAnsi="宋体" w:eastAsia="宋体"/>
          <w:color w:val="auto"/>
          <w:szCs w:val="21"/>
        </w:rPr>
        <w:t>具有同等法律效力。</w:t>
      </w:r>
    </w:p>
    <w:p w14:paraId="4B7B4056">
      <w:pPr>
        <w:widowControl/>
        <w:spacing w:after="156" w:afterLines="50" w:line="360" w:lineRule="auto"/>
        <w:rPr>
          <w:rFonts w:hint="eastAsia" w:ascii="宋体" w:hAnsi="宋体" w:eastAsia="宋体"/>
          <w:color w:val="auto"/>
          <w:szCs w:val="21"/>
        </w:rPr>
      </w:pPr>
      <w:bookmarkStart w:id="3" w:name="_GoBack"/>
      <w:bookmarkEnd w:id="3"/>
    </w:p>
    <w:p w14:paraId="265F53EC">
      <w:pPr>
        <w:widowControl/>
        <w:spacing w:after="156" w:afterLines="50" w:line="360" w:lineRule="auto"/>
        <w:rPr>
          <w:rFonts w:ascii="宋体" w:hAnsi="宋体" w:eastAsia="宋体"/>
          <w:color w:val="auto"/>
          <w:szCs w:val="21"/>
        </w:rPr>
      </w:pPr>
      <w:r>
        <w:rPr>
          <w:rFonts w:hint="eastAsia" w:ascii="宋体" w:hAnsi="宋体" w:eastAsia="宋体"/>
          <w:color w:val="auto"/>
          <w:szCs w:val="21"/>
        </w:rPr>
        <w:t>（以下无正文）</w:t>
      </w:r>
    </w:p>
    <w:tbl>
      <w:tblPr>
        <w:tblStyle w:val="9"/>
        <w:tblW w:w="978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745"/>
        <w:gridCol w:w="2224"/>
        <w:gridCol w:w="1701"/>
        <w:gridCol w:w="851"/>
        <w:gridCol w:w="2565"/>
        <w:gridCol w:w="695"/>
      </w:tblGrid>
      <w:tr w14:paraId="01A7D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745" w:type="dxa"/>
          </w:tcPr>
          <w:p w14:paraId="32234579">
            <w:pPr>
              <w:widowControl/>
              <w:spacing w:after="156" w:afterLines="50" w:line="360" w:lineRule="auto"/>
              <w:jc w:val="left"/>
              <w:rPr>
                <w:rFonts w:ascii="宋体" w:hAnsi="宋体" w:eastAsia="宋体"/>
                <w:b/>
                <w:snapToGrid w:val="0"/>
                <w:color w:val="auto"/>
                <w:kern w:val="0"/>
                <w:szCs w:val="21"/>
              </w:rPr>
            </w:pPr>
            <w:r>
              <w:rPr>
                <w:rFonts w:hint="eastAsia" w:ascii="宋体" w:hAnsi="宋体" w:eastAsia="宋体"/>
                <w:b/>
                <w:snapToGrid w:val="0"/>
                <w:color w:val="auto"/>
                <w:kern w:val="0"/>
                <w:szCs w:val="21"/>
              </w:rPr>
              <w:t>甲方（盖章）：</w:t>
            </w:r>
            <w:r>
              <w:rPr>
                <w:rFonts w:ascii="宋体" w:hAnsi="宋体" w:eastAsia="宋体"/>
                <w:b/>
                <w:snapToGrid w:val="0"/>
                <w:color w:val="auto"/>
                <w:kern w:val="0"/>
                <w:szCs w:val="21"/>
              </w:rPr>
              <w:t xml:space="preserve"> </w:t>
            </w:r>
          </w:p>
        </w:tc>
        <w:tc>
          <w:tcPr>
            <w:tcW w:w="2224" w:type="dxa"/>
          </w:tcPr>
          <w:p w14:paraId="0E2D0A67">
            <w:pPr>
              <w:widowControl/>
              <w:spacing w:after="156" w:afterLines="50" w:line="360" w:lineRule="auto"/>
              <w:jc w:val="left"/>
              <w:rPr>
                <w:rFonts w:ascii="宋体" w:hAnsi="宋体" w:eastAsia="宋体"/>
                <w:b/>
                <w:snapToGrid w:val="0"/>
                <w:color w:val="auto"/>
                <w:kern w:val="0"/>
                <w:szCs w:val="21"/>
                <w:lang w:eastAsia="zh"/>
              </w:rPr>
            </w:pPr>
          </w:p>
        </w:tc>
        <w:tc>
          <w:tcPr>
            <w:tcW w:w="1701" w:type="dxa"/>
          </w:tcPr>
          <w:p w14:paraId="70F4C3EB">
            <w:pPr>
              <w:widowControl/>
              <w:spacing w:after="156" w:afterLines="50" w:line="360" w:lineRule="auto"/>
              <w:jc w:val="left"/>
              <w:rPr>
                <w:rFonts w:ascii="宋体" w:hAnsi="宋体" w:eastAsia="宋体"/>
                <w:b/>
                <w:snapToGrid w:val="0"/>
                <w:color w:val="auto"/>
                <w:kern w:val="0"/>
                <w:szCs w:val="21"/>
              </w:rPr>
            </w:pPr>
            <w:r>
              <w:rPr>
                <w:rFonts w:hint="eastAsia" w:ascii="宋体" w:hAnsi="宋体" w:eastAsia="宋体"/>
                <w:b/>
                <w:snapToGrid w:val="0"/>
                <w:color w:val="auto"/>
                <w:kern w:val="0"/>
                <w:szCs w:val="21"/>
              </w:rPr>
              <w:t>乙方（盖章）：</w:t>
            </w:r>
            <w:r>
              <w:rPr>
                <w:rFonts w:ascii="宋体" w:hAnsi="宋体" w:eastAsia="宋体"/>
                <w:b/>
                <w:snapToGrid w:val="0"/>
                <w:color w:val="auto"/>
                <w:kern w:val="0"/>
                <w:szCs w:val="21"/>
              </w:rPr>
              <w:t xml:space="preserve"> </w:t>
            </w:r>
          </w:p>
        </w:tc>
        <w:tc>
          <w:tcPr>
            <w:tcW w:w="4111" w:type="dxa"/>
            <w:gridSpan w:val="3"/>
          </w:tcPr>
          <w:p w14:paraId="790CF88B">
            <w:pPr>
              <w:widowControl/>
              <w:spacing w:after="156" w:afterLines="50" w:line="360" w:lineRule="auto"/>
              <w:jc w:val="left"/>
              <w:rPr>
                <w:rFonts w:ascii="宋体" w:hAnsi="宋体" w:eastAsia="宋体"/>
                <w:b/>
                <w:snapToGrid w:val="0"/>
                <w:color w:val="auto"/>
                <w:kern w:val="0"/>
                <w:szCs w:val="21"/>
              </w:rPr>
            </w:pPr>
          </w:p>
        </w:tc>
      </w:tr>
      <w:tr w14:paraId="6D95C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95" w:type="dxa"/>
        </w:trPr>
        <w:tc>
          <w:tcPr>
            <w:tcW w:w="3969" w:type="dxa"/>
            <w:gridSpan w:val="2"/>
          </w:tcPr>
          <w:p w14:paraId="1EA9C963">
            <w:pPr>
              <w:widowControl/>
              <w:spacing w:after="156" w:afterLines="50" w:line="360" w:lineRule="auto"/>
              <w:jc w:val="left"/>
              <w:rPr>
                <w:rFonts w:ascii="宋体" w:hAnsi="宋体" w:eastAsia="宋体"/>
                <w:b/>
                <w:snapToGrid w:val="0"/>
                <w:color w:val="auto"/>
                <w:kern w:val="0"/>
                <w:szCs w:val="21"/>
              </w:rPr>
            </w:pPr>
            <w:r>
              <w:rPr>
                <w:rFonts w:hint="eastAsia" w:ascii="宋体" w:hAnsi="宋体" w:eastAsia="宋体"/>
                <w:b/>
                <w:snapToGrid w:val="0"/>
                <w:color w:val="auto"/>
                <w:kern w:val="0"/>
                <w:szCs w:val="21"/>
              </w:rPr>
              <w:t>法定代表人或授权代表签字：</w:t>
            </w:r>
          </w:p>
        </w:tc>
        <w:tc>
          <w:tcPr>
            <w:tcW w:w="5117" w:type="dxa"/>
            <w:gridSpan w:val="3"/>
          </w:tcPr>
          <w:p w14:paraId="729F8A9E">
            <w:pPr>
              <w:widowControl/>
              <w:spacing w:after="156" w:afterLines="50" w:line="360" w:lineRule="auto"/>
              <w:jc w:val="left"/>
              <w:rPr>
                <w:rFonts w:ascii="宋体" w:hAnsi="宋体" w:eastAsia="宋体"/>
                <w:b/>
                <w:snapToGrid w:val="0"/>
                <w:color w:val="auto"/>
                <w:kern w:val="0"/>
                <w:szCs w:val="21"/>
              </w:rPr>
            </w:pPr>
            <w:r>
              <w:rPr>
                <w:rFonts w:hint="eastAsia" w:ascii="宋体" w:hAnsi="宋体" w:eastAsia="宋体"/>
                <w:b/>
                <w:snapToGrid w:val="0"/>
                <w:color w:val="auto"/>
                <w:kern w:val="0"/>
                <w:szCs w:val="21"/>
              </w:rPr>
              <w:t>法定代表人或授权代表签字：</w:t>
            </w:r>
          </w:p>
        </w:tc>
      </w:tr>
      <w:tr w14:paraId="7F452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695" w:type="dxa"/>
        </w:trPr>
        <w:tc>
          <w:tcPr>
            <w:tcW w:w="1745" w:type="dxa"/>
          </w:tcPr>
          <w:p w14:paraId="2645F46F">
            <w:pPr>
              <w:widowControl/>
              <w:spacing w:after="156" w:afterLines="50" w:line="360" w:lineRule="auto"/>
              <w:jc w:val="left"/>
              <w:rPr>
                <w:rFonts w:ascii="宋体" w:hAnsi="宋体" w:eastAsia="宋体"/>
                <w:b/>
                <w:snapToGrid w:val="0"/>
                <w:color w:val="auto"/>
                <w:kern w:val="0"/>
                <w:szCs w:val="21"/>
              </w:rPr>
            </w:pPr>
            <w:r>
              <w:rPr>
                <w:rFonts w:hint="eastAsia" w:ascii="宋体" w:hAnsi="宋体" w:eastAsia="宋体"/>
                <w:b/>
                <w:snapToGrid w:val="0"/>
                <w:color w:val="auto"/>
                <w:kern w:val="0"/>
                <w:szCs w:val="21"/>
              </w:rPr>
              <w:t>签订</w:t>
            </w:r>
            <w:r>
              <w:rPr>
                <w:rFonts w:ascii="宋体" w:hAnsi="宋体" w:eastAsia="宋体"/>
                <w:b/>
                <w:snapToGrid w:val="0"/>
                <w:color w:val="auto"/>
                <w:kern w:val="0"/>
                <w:szCs w:val="21"/>
              </w:rPr>
              <w:t>日期：</w:t>
            </w:r>
          </w:p>
        </w:tc>
        <w:tc>
          <w:tcPr>
            <w:tcW w:w="2224" w:type="dxa"/>
          </w:tcPr>
          <w:p w14:paraId="64BF1F90">
            <w:pPr>
              <w:widowControl/>
              <w:spacing w:after="156" w:afterLines="50" w:line="360" w:lineRule="auto"/>
              <w:jc w:val="left"/>
              <w:rPr>
                <w:rFonts w:ascii="宋体" w:hAnsi="宋体" w:eastAsia="宋体"/>
                <w:b/>
                <w:snapToGrid w:val="0"/>
                <w:color w:val="auto"/>
                <w:kern w:val="0"/>
                <w:szCs w:val="21"/>
              </w:rPr>
            </w:pPr>
          </w:p>
        </w:tc>
        <w:tc>
          <w:tcPr>
            <w:tcW w:w="2552" w:type="dxa"/>
            <w:gridSpan w:val="2"/>
          </w:tcPr>
          <w:p w14:paraId="132ABDF8">
            <w:pPr>
              <w:widowControl/>
              <w:spacing w:after="156" w:afterLines="50" w:line="360" w:lineRule="auto"/>
              <w:jc w:val="left"/>
              <w:rPr>
                <w:rFonts w:ascii="宋体" w:hAnsi="宋体" w:eastAsia="宋体"/>
                <w:b/>
                <w:snapToGrid w:val="0"/>
                <w:color w:val="auto"/>
                <w:kern w:val="0"/>
                <w:szCs w:val="21"/>
              </w:rPr>
            </w:pPr>
            <w:r>
              <w:rPr>
                <w:rFonts w:hint="eastAsia" w:ascii="宋体" w:hAnsi="宋体" w:eastAsia="宋体"/>
                <w:b/>
                <w:snapToGrid w:val="0"/>
                <w:color w:val="auto"/>
                <w:kern w:val="0"/>
                <w:szCs w:val="21"/>
              </w:rPr>
              <w:t>签订</w:t>
            </w:r>
            <w:r>
              <w:rPr>
                <w:rFonts w:ascii="宋体" w:hAnsi="宋体" w:eastAsia="宋体"/>
                <w:b/>
                <w:snapToGrid w:val="0"/>
                <w:color w:val="auto"/>
                <w:kern w:val="0"/>
                <w:szCs w:val="21"/>
              </w:rPr>
              <w:t>日期：</w:t>
            </w:r>
          </w:p>
        </w:tc>
        <w:tc>
          <w:tcPr>
            <w:tcW w:w="2565" w:type="dxa"/>
          </w:tcPr>
          <w:p w14:paraId="69C680B9">
            <w:pPr>
              <w:widowControl/>
              <w:spacing w:after="156" w:afterLines="50" w:line="360" w:lineRule="auto"/>
              <w:jc w:val="left"/>
              <w:rPr>
                <w:rFonts w:ascii="宋体" w:hAnsi="宋体" w:eastAsia="宋体"/>
                <w:b/>
                <w:snapToGrid w:val="0"/>
                <w:color w:val="auto"/>
                <w:kern w:val="0"/>
                <w:szCs w:val="21"/>
              </w:rPr>
            </w:pPr>
            <w:r>
              <w:rPr>
                <w:rFonts w:hint="eastAsia" w:ascii="宋体" w:hAnsi="宋体" w:eastAsia="宋体"/>
                <w:b/>
                <w:snapToGrid w:val="0"/>
                <w:color w:val="auto"/>
                <w:kern w:val="0"/>
                <w:szCs w:val="21"/>
              </w:rPr>
              <w:t xml:space="preserve"> </w:t>
            </w:r>
          </w:p>
        </w:tc>
      </w:tr>
    </w:tbl>
    <w:p w14:paraId="1B87BC0A">
      <w:pPr>
        <w:widowControl/>
        <w:spacing w:after="156" w:afterLines="50" w:line="360" w:lineRule="auto"/>
        <w:jc w:val="left"/>
        <w:rPr>
          <w:rFonts w:ascii="宋体" w:hAnsi="宋体" w:eastAsia="宋体" w:cs="Times New Roman"/>
          <w:snapToGrid w:val="0"/>
          <w:color w:val="auto"/>
          <w:kern w:val="0"/>
          <w:sz w:val="24"/>
          <w:szCs w:val="24"/>
        </w:rPr>
      </w:pPr>
    </w:p>
    <w:p w14:paraId="078D003D">
      <w:pPr>
        <w:widowControl/>
        <w:jc w:val="left"/>
        <w:rPr>
          <w:rFonts w:ascii="宋体" w:hAnsi="宋体" w:eastAsia="宋体" w:cs="Times New Roman"/>
          <w:snapToGrid w:val="0"/>
          <w:color w:val="auto"/>
          <w:kern w:val="0"/>
          <w:sz w:val="24"/>
          <w:szCs w:val="24"/>
        </w:rPr>
      </w:pPr>
      <w:r>
        <w:rPr>
          <w:rFonts w:ascii="宋体" w:hAnsi="宋体" w:eastAsia="宋体" w:cs="Times New Roman"/>
          <w:snapToGrid w:val="0"/>
          <w:color w:val="auto"/>
          <w:kern w:val="0"/>
          <w:sz w:val="24"/>
          <w:szCs w:val="24"/>
        </w:rPr>
        <w:br w:type="page"/>
      </w:r>
    </w:p>
    <w:p w14:paraId="41457CB6">
      <w:pPr>
        <w:widowControl/>
        <w:tabs>
          <w:tab w:val="left" w:pos="720"/>
          <w:tab w:val="left" w:pos="5400"/>
        </w:tabs>
        <w:spacing w:after="156" w:afterLines="50" w:line="360" w:lineRule="auto"/>
        <w:rPr>
          <w:rFonts w:ascii="宋体" w:hAnsi="宋体" w:eastAsia="宋体" w:cs="Times New Roman"/>
          <w:snapToGrid w:val="0"/>
          <w:color w:val="auto"/>
          <w:kern w:val="0"/>
          <w:sz w:val="24"/>
          <w:szCs w:val="24"/>
        </w:rPr>
      </w:pPr>
      <w:r>
        <w:rPr>
          <w:rFonts w:hint="eastAsia" w:ascii="宋体" w:hAnsi="宋体" w:eastAsia="宋体" w:cs="Times New Roman"/>
          <w:snapToGrid w:val="0"/>
          <w:color w:val="auto"/>
          <w:kern w:val="0"/>
          <w:sz w:val="24"/>
          <w:szCs w:val="24"/>
        </w:rPr>
        <w:t xml:space="preserve">附件 </w:t>
      </w:r>
    </w:p>
    <w:p w14:paraId="21CE2AFC">
      <w:pPr>
        <w:widowControl/>
        <w:tabs>
          <w:tab w:val="left" w:pos="720"/>
          <w:tab w:val="left" w:pos="5400"/>
        </w:tabs>
        <w:spacing w:after="156" w:afterLines="50" w:line="360" w:lineRule="auto"/>
        <w:jc w:val="center"/>
        <w:rPr>
          <w:rFonts w:ascii="宋体" w:hAnsi="宋体" w:eastAsia="宋体" w:cs="Times New Roman"/>
          <w:b/>
          <w:snapToGrid w:val="0"/>
          <w:color w:val="auto"/>
          <w:kern w:val="0"/>
          <w:sz w:val="18"/>
          <w:szCs w:val="18"/>
        </w:rPr>
      </w:pPr>
      <w:r>
        <w:rPr>
          <w:rFonts w:hint="eastAsia" w:ascii="宋体" w:hAnsi="宋体" w:eastAsia="宋体" w:cs="Times New Roman"/>
          <w:b/>
          <w:snapToGrid w:val="0"/>
          <w:color w:val="auto"/>
          <w:kern w:val="0"/>
          <w:sz w:val="24"/>
          <w:szCs w:val="24"/>
        </w:rPr>
        <w:t>一般条款</w:t>
      </w:r>
    </w:p>
    <w:p w14:paraId="7D53C95B">
      <w:pPr>
        <w:widowControl/>
        <w:tabs>
          <w:tab w:val="left" w:pos="720"/>
          <w:tab w:val="left" w:pos="5400"/>
        </w:tabs>
        <w:spacing w:after="156" w:afterLines="50" w:line="360" w:lineRule="auto"/>
        <w:rPr>
          <w:rFonts w:ascii="宋体" w:hAnsi="宋体" w:eastAsia="宋体"/>
          <w:b/>
          <w:snapToGrid w:val="0"/>
          <w:color w:val="auto"/>
          <w:kern w:val="0"/>
          <w:szCs w:val="21"/>
        </w:rPr>
      </w:pPr>
      <w:r>
        <w:rPr>
          <w:rFonts w:hint="eastAsia" w:ascii="宋体" w:hAnsi="宋体" w:eastAsia="宋体" w:cs="Times New Roman"/>
          <w:b/>
          <w:snapToGrid w:val="0"/>
          <w:color w:val="auto"/>
          <w:kern w:val="0"/>
          <w:szCs w:val="21"/>
        </w:rPr>
        <w:t>甲方：</w:t>
      </w:r>
      <w:r>
        <w:rPr>
          <w:rFonts w:ascii="宋体" w:hAnsi="宋体" w:eastAsia="宋体"/>
          <w:b/>
          <w:snapToGrid w:val="0"/>
          <w:color w:val="auto"/>
          <w:kern w:val="0"/>
          <w:szCs w:val="21"/>
        </w:rPr>
        <w:t xml:space="preserve"> </w:t>
      </w:r>
    </w:p>
    <w:p w14:paraId="4EB7E1C6">
      <w:pPr>
        <w:widowControl/>
        <w:tabs>
          <w:tab w:val="left" w:pos="720"/>
          <w:tab w:val="left" w:pos="5400"/>
        </w:tabs>
        <w:spacing w:after="156" w:afterLines="50" w:line="360" w:lineRule="auto"/>
        <w:rPr>
          <w:rFonts w:ascii="宋体" w:hAnsi="宋体" w:eastAsia="宋体" w:cs="Times New Roman"/>
          <w:b/>
          <w:snapToGrid w:val="0"/>
          <w:color w:val="auto"/>
          <w:kern w:val="0"/>
          <w:szCs w:val="21"/>
        </w:rPr>
      </w:pPr>
      <w:r>
        <w:rPr>
          <w:rFonts w:hint="eastAsia" w:ascii="宋体" w:hAnsi="宋体" w:eastAsia="宋体" w:cs="Times New Roman"/>
          <w:b/>
          <w:snapToGrid w:val="0"/>
          <w:color w:val="auto"/>
          <w:kern w:val="0"/>
          <w:szCs w:val="21"/>
        </w:rPr>
        <w:t>乙方：</w:t>
      </w:r>
    </w:p>
    <w:p w14:paraId="1D9A6CC0">
      <w:pPr>
        <w:widowControl/>
        <w:tabs>
          <w:tab w:val="left" w:pos="720"/>
          <w:tab w:val="left" w:pos="5400"/>
        </w:tabs>
        <w:spacing w:after="156" w:afterLines="50" w:line="360" w:lineRule="auto"/>
        <w:rPr>
          <w:rFonts w:ascii="宋体" w:hAnsi="宋体" w:eastAsia="宋体"/>
          <w:b/>
          <w:color w:val="auto"/>
          <w:szCs w:val="21"/>
        </w:rPr>
      </w:pPr>
      <w:r>
        <w:rPr>
          <w:rFonts w:hint="eastAsia" w:ascii="宋体" w:hAnsi="宋体" w:eastAsia="宋体"/>
          <w:b/>
          <w:color w:val="auto"/>
          <w:szCs w:val="21"/>
        </w:rPr>
        <w:t>定义</w:t>
      </w:r>
    </w:p>
    <w:p w14:paraId="484AD4EC">
      <w:pPr>
        <w:pStyle w:val="20"/>
        <w:widowControl/>
        <w:numPr>
          <w:ilvl w:val="1"/>
          <w:numId w:val="6"/>
        </w:numPr>
        <w:tabs>
          <w:tab w:val="left" w:pos="426"/>
          <w:tab w:val="left" w:pos="5400"/>
        </w:tabs>
        <w:spacing w:after="156" w:afterLines="50" w:line="360" w:lineRule="auto"/>
        <w:ind w:left="426" w:hanging="426" w:firstLineChars="0"/>
        <w:rPr>
          <w:rFonts w:ascii="宋体" w:hAnsi="宋体" w:eastAsia="宋体"/>
          <w:b/>
          <w:color w:val="auto"/>
          <w:szCs w:val="21"/>
        </w:rPr>
      </w:pPr>
      <w:r>
        <w:rPr>
          <w:rFonts w:hint="eastAsia" w:ascii="宋体" w:hAnsi="宋体" w:eastAsia="宋体"/>
          <w:b/>
          <w:color w:val="auto"/>
          <w:szCs w:val="21"/>
        </w:rPr>
        <w:t>设备：</w:t>
      </w:r>
      <w:r>
        <w:rPr>
          <w:rFonts w:hint="eastAsia" w:ascii="宋体" w:hAnsi="宋体" w:eastAsia="宋体"/>
          <w:color w:val="auto"/>
          <w:szCs w:val="21"/>
        </w:rPr>
        <w:t>指《维保服务合同》第1条所列的医疗设备。</w:t>
      </w:r>
    </w:p>
    <w:p w14:paraId="79D72D09">
      <w:pPr>
        <w:pStyle w:val="20"/>
        <w:widowControl/>
        <w:numPr>
          <w:ilvl w:val="1"/>
          <w:numId w:val="6"/>
        </w:numPr>
        <w:tabs>
          <w:tab w:val="left" w:pos="426"/>
          <w:tab w:val="left" w:pos="5400"/>
        </w:tabs>
        <w:spacing w:after="156" w:afterLines="50" w:line="360" w:lineRule="auto"/>
        <w:ind w:hanging="840" w:firstLineChars="0"/>
        <w:rPr>
          <w:rFonts w:ascii="宋体" w:hAnsi="宋体" w:eastAsia="宋体"/>
          <w:b/>
          <w:color w:val="auto"/>
          <w:szCs w:val="21"/>
        </w:rPr>
      </w:pPr>
      <w:r>
        <w:rPr>
          <w:rFonts w:hint="eastAsia" w:ascii="宋体" w:hAnsi="宋体" w:eastAsia="宋体"/>
          <w:b/>
          <w:color w:val="auto"/>
          <w:szCs w:val="21"/>
        </w:rPr>
        <w:t>备件：</w:t>
      </w:r>
      <w:r>
        <w:rPr>
          <w:rFonts w:hint="eastAsia" w:ascii="宋体" w:hAnsi="宋体" w:eastAsia="宋体"/>
          <w:color w:val="auto"/>
          <w:szCs w:val="21"/>
        </w:rPr>
        <w:t>为了缩短设备修理停歇时间或进行设备的维护检修，而储备的用于维修的配件。</w:t>
      </w:r>
    </w:p>
    <w:p w14:paraId="4EE7A12A">
      <w:pPr>
        <w:pStyle w:val="20"/>
        <w:widowControl/>
        <w:numPr>
          <w:ilvl w:val="1"/>
          <w:numId w:val="6"/>
        </w:numPr>
        <w:tabs>
          <w:tab w:val="left" w:pos="426"/>
          <w:tab w:val="left" w:pos="5400"/>
        </w:tabs>
        <w:spacing w:after="156" w:afterLines="50" w:line="360" w:lineRule="auto"/>
        <w:ind w:left="426" w:hanging="426" w:firstLineChars="0"/>
        <w:rPr>
          <w:rFonts w:ascii="宋体" w:hAnsi="宋体" w:eastAsia="宋体"/>
          <w:color w:val="auto"/>
          <w:szCs w:val="21"/>
        </w:rPr>
      </w:pPr>
      <w:r>
        <w:rPr>
          <w:rFonts w:hint="eastAsia" w:ascii="宋体" w:hAnsi="宋体" w:eastAsia="宋体"/>
          <w:b/>
          <w:color w:val="auto"/>
          <w:szCs w:val="21"/>
        </w:rPr>
        <w:t>附件及易耗品：</w:t>
      </w:r>
      <w:r>
        <w:rPr>
          <w:rFonts w:hint="eastAsia" w:ascii="宋体" w:hAnsi="宋体" w:eastAsia="宋体"/>
          <w:color w:val="auto"/>
          <w:szCs w:val="21"/>
        </w:rPr>
        <w:t>指非设备基本功能所必需的或因消耗及磨损的各种材料（如纸张、墨水、胶片、电池、数据交换载体等）的定期更换与补充。</w:t>
      </w:r>
    </w:p>
    <w:p w14:paraId="271E9B81">
      <w:pPr>
        <w:pStyle w:val="20"/>
        <w:widowControl/>
        <w:numPr>
          <w:ilvl w:val="1"/>
          <w:numId w:val="6"/>
        </w:numPr>
        <w:tabs>
          <w:tab w:val="left" w:pos="426"/>
          <w:tab w:val="left" w:pos="5400"/>
        </w:tabs>
        <w:spacing w:after="156" w:afterLines="50" w:line="360" w:lineRule="auto"/>
        <w:ind w:left="426" w:hanging="426" w:firstLineChars="0"/>
        <w:rPr>
          <w:rFonts w:ascii="宋体" w:hAnsi="宋体" w:eastAsia="宋体"/>
          <w:color w:val="auto"/>
          <w:szCs w:val="21"/>
        </w:rPr>
      </w:pPr>
      <w:r>
        <w:rPr>
          <w:rFonts w:hint="eastAsia" w:ascii="宋体" w:hAnsi="宋体" w:eastAsia="宋体"/>
          <w:b/>
          <w:color w:val="auto"/>
          <w:szCs w:val="21"/>
        </w:rPr>
        <w:t>设备运行的基本条件：</w:t>
      </w:r>
      <w:r>
        <w:rPr>
          <w:rFonts w:hint="eastAsia" w:ascii="宋体" w:hAnsi="宋体" w:eastAsia="宋体"/>
          <w:color w:val="auto"/>
          <w:szCs w:val="21"/>
        </w:rPr>
        <w:t>指设备在安装地点正常运行所需的基本环境条件，即设备操作手册所需要的环境条件及乙方要求的其他条件，包括但不限于空调、冷却水、压缩空气、电源供应等。</w:t>
      </w:r>
    </w:p>
    <w:p w14:paraId="5C407622">
      <w:pPr>
        <w:pStyle w:val="20"/>
        <w:widowControl/>
        <w:numPr>
          <w:ilvl w:val="1"/>
          <w:numId w:val="6"/>
        </w:numPr>
        <w:tabs>
          <w:tab w:val="left" w:pos="426"/>
          <w:tab w:val="left" w:pos="5400"/>
        </w:tabs>
        <w:spacing w:after="156" w:afterLines="50" w:line="360" w:lineRule="auto"/>
        <w:ind w:left="426" w:hanging="426" w:firstLineChars="0"/>
        <w:rPr>
          <w:rFonts w:ascii="宋体" w:hAnsi="宋体" w:eastAsia="宋体"/>
          <w:color w:val="auto"/>
          <w:szCs w:val="21"/>
        </w:rPr>
      </w:pPr>
      <w:r>
        <w:rPr>
          <w:rFonts w:hint="eastAsia" w:ascii="宋体" w:hAnsi="宋体" w:eastAsia="宋体"/>
          <w:b/>
          <w:color w:val="auto"/>
          <w:szCs w:val="21"/>
        </w:rPr>
        <w:t>不可抗力：</w:t>
      </w:r>
      <w:r>
        <w:rPr>
          <w:rFonts w:hint="eastAsia" w:ascii="宋体" w:hAnsi="宋体" w:eastAsia="宋体"/>
          <w:color w:val="auto"/>
          <w:szCs w:val="21"/>
        </w:rPr>
        <w:t>指</w:t>
      </w:r>
      <w:r>
        <w:rPr>
          <w:rFonts w:ascii="宋体" w:hAnsi="宋体" w:eastAsia="宋体"/>
          <w:color w:val="auto"/>
          <w:szCs w:val="21"/>
        </w:rPr>
        <w:t>任何遭受不可抗力方无法预见的且超出其合理控制的事件，包括但不限于：天灾、自然灾害(如：雷击、洪水、泥石流、地震等)、封锁、战争或类似战争状态、暴乱、阴谋破坏、火灾、运输阻滞或交通事故、政府行为(例如但不限于修改法律</w:t>
      </w:r>
      <w:r>
        <w:rPr>
          <w:rFonts w:hint="eastAsia" w:ascii="宋体" w:hAnsi="宋体" w:eastAsia="宋体"/>
          <w:color w:val="auto"/>
          <w:szCs w:val="21"/>
        </w:rPr>
        <w:t>法规</w:t>
      </w:r>
      <w:r>
        <w:rPr>
          <w:rFonts w:ascii="宋体" w:hAnsi="宋体" w:eastAsia="宋体"/>
          <w:color w:val="auto"/>
          <w:szCs w:val="21"/>
        </w:rPr>
        <w:t>)以及疫情</w:t>
      </w:r>
      <w:r>
        <w:rPr>
          <w:rFonts w:hint="eastAsia" w:ascii="宋体" w:hAnsi="宋体" w:eastAsia="宋体"/>
          <w:color w:val="auto"/>
          <w:szCs w:val="21"/>
        </w:rPr>
        <w:t>（包括疫情防控）。</w:t>
      </w:r>
    </w:p>
    <w:p w14:paraId="3000E120">
      <w:pPr>
        <w:pStyle w:val="20"/>
        <w:widowControl/>
        <w:numPr>
          <w:ilvl w:val="3"/>
          <w:numId w:val="7"/>
        </w:numPr>
        <w:tabs>
          <w:tab w:val="left" w:pos="426"/>
          <w:tab w:val="left" w:pos="5400"/>
        </w:tabs>
        <w:spacing w:after="156" w:afterLines="50" w:line="360" w:lineRule="auto"/>
        <w:ind w:left="2127" w:hanging="2127" w:firstLineChars="0"/>
        <w:rPr>
          <w:rFonts w:ascii="宋体" w:hAnsi="宋体" w:eastAsia="宋体"/>
          <w:color w:val="auto"/>
          <w:szCs w:val="21"/>
        </w:rPr>
      </w:pPr>
      <w:r>
        <w:rPr>
          <w:rFonts w:hint="eastAsia" w:ascii="宋体" w:hAnsi="宋体" w:eastAsia="宋体"/>
          <w:b/>
          <w:color w:val="auto"/>
          <w:szCs w:val="21"/>
        </w:rPr>
        <w:t>甲方义务</w:t>
      </w:r>
    </w:p>
    <w:p w14:paraId="2CC95C3F">
      <w:pPr>
        <w:pStyle w:val="20"/>
        <w:numPr>
          <w:ilvl w:val="0"/>
          <w:numId w:val="8"/>
        </w:numPr>
        <w:spacing w:after="156" w:afterLines="50" w:line="360" w:lineRule="auto"/>
        <w:ind w:left="426" w:hanging="426" w:firstLineChars="0"/>
        <w:rPr>
          <w:rFonts w:ascii="宋体" w:hAnsi="宋体" w:eastAsia="宋体"/>
          <w:color w:val="auto"/>
          <w:szCs w:val="21"/>
        </w:rPr>
      </w:pPr>
      <w:r>
        <w:rPr>
          <w:rFonts w:hint="eastAsia" w:ascii="宋体" w:hAnsi="宋体" w:eastAsia="宋体"/>
          <w:color w:val="auto"/>
          <w:szCs w:val="21"/>
        </w:rPr>
        <w:t>甲方或最终用户应保证设备运行的基本条件，并严格按照设备操作手册的要求进行日常操作和日常维护。如果由于甲方或最终用户的原因造成设备的不正常运转或乙方无法提供维修的，乙方将不承担责任。</w:t>
      </w:r>
    </w:p>
    <w:p w14:paraId="43E4ABA3">
      <w:pPr>
        <w:pStyle w:val="20"/>
        <w:numPr>
          <w:ilvl w:val="0"/>
          <w:numId w:val="8"/>
        </w:numPr>
        <w:spacing w:after="156" w:afterLines="50" w:line="360" w:lineRule="auto"/>
        <w:ind w:left="426" w:hanging="426" w:firstLineChars="0"/>
        <w:rPr>
          <w:rFonts w:ascii="宋体" w:hAnsi="宋体" w:eastAsia="宋体"/>
          <w:color w:val="auto"/>
          <w:szCs w:val="21"/>
        </w:rPr>
      </w:pPr>
      <w:r>
        <w:rPr>
          <w:rFonts w:hint="eastAsia" w:ascii="宋体" w:hAnsi="宋体" w:eastAsia="宋体"/>
          <w:color w:val="auto"/>
          <w:szCs w:val="21"/>
        </w:rPr>
        <w:t>甲方应保证签订《维保服务合同》（以下简称“合同或本合同”）时，设备为原厂配置并处于良好的运行状态，如乙方在合同签订后发现甲方/最终用户隐瞒设备状态或设备中含有非原厂配置，乙方有权解除合同；如因甲方/最终用户隐瞒设备的真实情况，包括但不限于自行或聘请第三方维修、更换备件、改装过设备及备件的，</w:t>
      </w:r>
      <w:r>
        <w:rPr>
          <w:rFonts w:hint="eastAsia" w:ascii="宋体" w:hAnsi="宋体" w:eastAsia="宋体"/>
          <w:color w:val="auto"/>
          <w:szCs w:val="21"/>
        </w:rPr>
        <w:t>且该行为被有资质的第三方鉴定机构认定为直接导致乙方在后续维修时发生设备故障或损坏的，乙方对该由此直接引发的故障不承担责任。乙方主张免责的，应对上述因果关系承担举证责任。</w:t>
      </w:r>
    </w:p>
    <w:p w14:paraId="36996262">
      <w:pPr>
        <w:pStyle w:val="20"/>
        <w:numPr>
          <w:ilvl w:val="0"/>
          <w:numId w:val="8"/>
        </w:numPr>
        <w:spacing w:after="156" w:afterLines="50" w:line="360" w:lineRule="auto"/>
        <w:ind w:left="426" w:hanging="426" w:firstLineChars="0"/>
        <w:rPr>
          <w:rFonts w:ascii="宋体" w:hAnsi="宋体" w:eastAsia="宋体"/>
          <w:color w:val="auto"/>
          <w:szCs w:val="21"/>
        </w:rPr>
      </w:pPr>
      <w:r>
        <w:rPr>
          <w:rFonts w:hint="eastAsia" w:ascii="宋体" w:hAnsi="宋体" w:eastAsia="宋体"/>
          <w:color w:val="auto"/>
          <w:szCs w:val="21"/>
        </w:rPr>
        <w:t>在</w:t>
      </w:r>
      <w:r>
        <w:rPr>
          <w:rFonts w:hint="eastAsia" w:ascii="宋体" w:hAnsi="宋体" w:eastAsia="宋体"/>
          <w:color w:val="auto"/>
          <w:szCs w:val="21"/>
          <w:lang w:eastAsia="zh"/>
        </w:rPr>
        <w:t>对合同项下的设备进行维修保养时，甲方及最终用户应向乙方提供服务所需的条件（包括但不限于乙方人员将有权自由进入最终用户场所进行检查/维修，腾出设备）及良好的维保环境，以确保乙方人员安全、及时地提供服务。甲方/最终用户应为乙方人员等采取一切合理的现场预防措施以保障其健康与安全。</w:t>
      </w:r>
    </w:p>
    <w:p w14:paraId="35601F19">
      <w:pPr>
        <w:pStyle w:val="20"/>
        <w:numPr>
          <w:ilvl w:val="0"/>
          <w:numId w:val="8"/>
        </w:numPr>
        <w:spacing w:after="156" w:afterLines="50" w:line="360" w:lineRule="auto"/>
        <w:ind w:left="426" w:hanging="426" w:firstLineChars="0"/>
        <w:rPr>
          <w:rFonts w:ascii="宋体" w:hAnsi="宋体" w:eastAsia="宋体"/>
          <w:color w:val="auto"/>
          <w:szCs w:val="21"/>
        </w:rPr>
      </w:pPr>
      <w:r>
        <w:rPr>
          <w:rFonts w:hint="eastAsia" w:ascii="宋体" w:hAnsi="宋体" w:eastAsia="宋体"/>
          <w:color w:val="auto"/>
          <w:szCs w:val="21"/>
        </w:rPr>
        <w:t>甲方或最终用户应向乙方提供维修保养所有必要的文件、数据和信息以便乙方发现和修理任何设备故障。因履行本合同之必要，乙方可能收集的文件、数据和信息主要包括：</w:t>
      </w:r>
    </w:p>
    <w:p w14:paraId="4395BF39">
      <w:pPr>
        <w:numPr>
          <w:ilvl w:val="0"/>
          <w:numId w:val="9"/>
        </w:numPr>
        <w:spacing w:after="156" w:afterLines="50" w:line="360" w:lineRule="auto"/>
        <w:ind w:left="993" w:hanging="568"/>
        <w:rPr>
          <w:rFonts w:ascii="宋体" w:hAnsi="宋体" w:eastAsia="宋体"/>
          <w:color w:val="auto"/>
          <w:szCs w:val="21"/>
        </w:rPr>
      </w:pPr>
      <w:r>
        <w:rPr>
          <w:rFonts w:hint="eastAsia" w:ascii="宋体" w:hAnsi="宋体" w:eastAsia="宋体"/>
          <w:color w:val="auto"/>
          <w:szCs w:val="21"/>
        </w:rPr>
        <w:t>甲方或最终用户的名称、地址、联系人及联系方式；</w:t>
      </w:r>
    </w:p>
    <w:p w14:paraId="62D5CFF0">
      <w:pPr>
        <w:numPr>
          <w:ilvl w:val="0"/>
          <w:numId w:val="9"/>
        </w:numPr>
        <w:spacing w:after="156" w:afterLines="50" w:line="360" w:lineRule="auto"/>
        <w:ind w:left="993" w:hanging="568"/>
        <w:rPr>
          <w:rFonts w:ascii="宋体" w:hAnsi="宋体" w:eastAsia="宋体"/>
          <w:color w:val="auto"/>
          <w:szCs w:val="21"/>
        </w:rPr>
      </w:pPr>
      <w:r>
        <w:rPr>
          <w:rFonts w:hint="eastAsia" w:ascii="宋体" w:hAnsi="宋体" w:eastAsia="宋体"/>
          <w:color w:val="auto"/>
          <w:szCs w:val="21"/>
        </w:rPr>
        <w:t>关键部件日志、服务日志、系统日志、设备实时运行日志（含报错信息和故障代码）；</w:t>
      </w:r>
    </w:p>
    <w:p w14:paraId="3F97090C">
      <w:pPr>
        <w:numPr>
          <w:ilvl w:val="0"/>
          <w:numId w:val="9"/>
        </w:numPr>
        <w:spacing w:after="156" w:afterLines="50" w:line="360" w:lineRule="auto"/>
        <w:ind w:left="993" w:hanging="568"/>
        <w:rPr>
          <w:rFonts w:ascii="宋体" w:hAnsi="宋体" w:eastAsia="宋体"/>
          <w:color w:val="auto"/>
          <w:szCs w:val="21"/>
        </w:rPr>
      </w:pPr>
      <w:r>
        <w:rPr>
          <w:rFonts w:hint="eastAsia" w:ascii="宋体" w:hAnsi="宋体" w:eastAsia="宋体"/>
          <w:color w:val="auto"/>
          <w:szCs w:val="21"/>
        </w:rPr>
        <w:t>关键部件监测诊断数据、系统矫正数据、甲方软件运行数据、系统参数；</w:t>
      </w:r>
    </w:p>
    <w:p w14:paraId="2042E98D">
      <w:pPr>
        <w:numPr>
          <w:ilvl w:val="0"/>
          <w:numId w:val="9"/>
        </w:numPr>
        <w:spacing w:after="156" w:afterLines="50" w:line="360" w:lineRule="auto"/>
        <w:ind w:left="993" w:hanging="568"/>
        <w:rPr>
          <w:rFonts w:ascii="宋体" w:hAnsi="宋体" w:eastAsia="宋体"/>
          <w:color w:val="auto"/>
          <w:szCs w:val="21"/>
        </w:rPr>
      </w:pPr>
      <w:r>
        <w:rPr>
          <w:rFonts w:hint="eastAsia" w:ascii="宋体" w:hAnsi="宋体" w:eastAsia="宋体"/>
          <w:color w:val="auto"/>
          <w:szCs w:val="21"/>
        </w:rPr>
        <w:t>配置、软件版本、补丁、许可、网络设置、医疗设备服务历史；</w:t>
      </w:r>
    </w:p>
    <w:p w14:paraId="4206980B">
      <w:pPr>
        <w:numPr>
          <w:ilvl w:val="0"/>
          <w:numId w:val="9"/>
        </w:numPr>
        <w:spacing w:after="156" w:afterLines="50" w:line="360" w:lineRule="auto"/>
        <w:ind w:left="993" w:hanging="568"/>
        <w:rPr>
          <w:rFonts w:ascii="宋体" w:hAnsi="宋体" w:eastAsia="宋体"/>
          <w:color w:val="auto"/>
          <w:szCs w:val="21"/>
        </w:rPr>
      </w:pPr>
      <w:r>
        <w:rPr>
          <w:rFonts w:hint="eastAsia" w:ascii="宋体" w:hAnsi="宋体" w:eastAsia="宋体"/>
          <w:color w:val="auto"/>
          <w:szCs w:val="21"/>
        </w:rPr>
        <w:t>各类任务的执行顺序，使用的应用/许可及其交互作用；和</w:t>
      </w:r>
    </w:p>
    <w:p w14:paraId="1203C553">
      <w:pPr>
        <w:numPr>
          <w:ilvl w:val="0"/>
          <w:numId w:val="9"/>
        </w:numPr>
        <w:spacing w:after="156" w:afterLines="50" w:line="360" w:lineRule="auto"/>
        <w:ind w:left="993" w:hanging="568"/>
        <w:rPr>
          <w:rFonts w:ascii="宋体" w:hAnsi="宋体" w:eastAsia="宋体"/>
          <w:color w:val="auto"/>
          <w:szCs w:val="21"/>
        </w:rPr>
      </w:pPr>
      <w:r>
        <w:rPr>
          <w:rFonts w:hint="eastAsia" w:ascii="宋体" w:hAnsi="宋体" w:eastAsia="宋体"/>
          <w:color w:val="auto"/>
          <w:szCs w:val="21"/>
        </w:rPr>
        <w:t>为维修影像故障目的而收集的医疗影像信息。</w:t>
      </w:r>
    </w:p>
    <w:p w14:paraId="35B5C723">
      <w:pPr>
        <w:pStyle w:val="20"/>
        <w:numPr>
          <w:ilvl w:val="0"/>
          <w:numId w:val="8"/>
        </w:numPr>
        <w:spacing w:after="156" w:afterLines="50" w:line="360" w:lineRule="auto"/>
        <w:ind w:left="426" w:hanging="426" w:firstLineChars="0"/>
        <w:rPr>
          <w:rFonts w:ascii="宋体" w:hAnsi="宋体" w:eastAsia="宋体"/>
          <w:color w:val="auto"/>
          <w:szCs w:val="21"/>
        </w:rPr>
      </w:pPr>
      <w:r>
        <w:rPr>
          <w:rFonts w:hint="eastAsia" w:ascii="宋体" w:hAnsi="宋体" w:eastAsia="宋体"/>
          <w:color w:val="auto"/>
          <w:szCs w:val="21"/>
        </w:rPr>
        <w:t>若需乙方提供远程维修服务，甲方及最终用户应当确保为远程维修服务提供安全稳定的网络环境以及用户关于远程接入和数据传输的必要授权。</w:t>
      </w:r>
    </w:p>
    <w:p w14:paraId="19A55638">
      <w:pPr>
        <w:pStyle w:val="20"/>
        <w:numPr>
          <w:ilvl w:val="0"/>
          <w:numId w:val="8"/>
        </w:numPr>
        <w:spacing w:after="156" w:afterLines="50" w:line="360" w:lineRule="auto"/>
        <w:ind w:left="426" w:hanging="426" w:firstLineChars="0"/>
        <w:rPr>
          <w:rFonts w:ascii="宋体" w:hAnsi="宋体" w:eastAsia="宋体"/>
          <w:color w:val="auto"/>
          <w:szCs w:val="21"/>
        </w:rPr>
      </w:pPr>
      <w:r>
        <w:rPr>
          <w:rFonts w:hint="eastAsia" w:ascii="宋体" w:hAnsi="宋体" w:eastAsia="宋体"/>
          <w:color w:val="auto"/>
          <w:szCs w:val="21"/>
        </w:rPr>
        <w:t>甲方或最终用户应在新备件更换后的三日内将旧备件退还给乙方，若因甲方或最终用户原因不能退还旧备件，甲方应额外向乙方支付</w:t>
      </w:r>
      <w:r>
        <w:rPr>
          <w:rFonts w:hint="eastAsia" w:ascii="宋体" w:hAnsi="宋体" w:eastAsia="宋体"/>
          <w:color w:val="auto"/>
          <w:szCs w:val="21"/>
        </w:rPr>
        <w:t>合理的成本补偿或与旧备件残余价值相当的费用</w:t>
      </w:r>
      <w:r>
        <w:rPr>
          <w:rFonts w:hint="eastAsia" w:ascii="宋体" w:hAnsi="宋体" w:eastAsia="宋体"/>
          <w:color w:val="auto"/>
          <w:szCs w:val="21"/>
        </w:rPr>
        <w:t>。</w:t>
      </w:r>
    </w:p>
    <w:p w14:paraId="76E96746">
      <w:pPr>
        <w:pStyle w:val="20"/>
        <w:numPr>
          <w:ilvl w:val="0"/>
          <w:numId w:val="8"/>
        </w:numPr>
        <w:spacing w:after="156" w:afterLines="50" w:line="360" w:lineRule="auto"/>
        <w:ind w:left="426" w:hanging="426" w:firstLineChars="0"/>
        <w:rPr>
          <w:rFonts w:ascii="宋体" w:hAnsi="宋体" w:eastAsia="宋体"/>
          <w:color w:val="auto"/>
          <w:szCs w:val="21"/>
        </w:rPr>
      </w:pPr>
      <w:r>
        <w:rPr>
          <w:rFonts w:hint="eastAsia" w:ascii="宋体" w:hAnsi="宋体" w:eastAsia="宋体"/>
          <w:color w:val="auto"/>
          <w:szCs w:val="21"/>
        </w:rPr>
        <w:t>甲方知悉并同意，乙方对于下列原因导致的设备故障/损坏、产生的人工、备件或其他费用不承担责任，如甲方/最终用户需要乙方进行维修且乙方同意的，</w:t>
      </w:r>
      <w:r>
        <w:rPr>
          <w:rFonts w:hint="eastAsia" w:ascii="宋体" w:hAnsi="宋体" w:eastAsia="宋体"/>
          <w:bCs/>
          <w:color w:val="auto"/>
          <w:szCs w:val="21"/>
        </w:rPr>
        <w:t>乙方将根据额外增加的维修成本与甲方协商提高合同金额或按当时适用的单次服务费率向甲方或最终用户另行收取服务费</w:t>
      </w:r>
      <w:r>
        <w:rPr>
          <w:rFonts w:hint="eastAsia" w:ascii="宋体" w:hAnsi="宋体" w:eastAsia="宋体"/>
          <w:color w:val="auto"/>
          <w:szCs w:val="21"/>
        </w:rPr>
        <w:t>：</w:t>
      </w:r>
    </w:p>
    <w:p w14:paraId="732BECD3">
      <w:pPr>
        <w:pStyle w:val="20"/>
        <w:numPr>
          <w:ilvl w:val="0"/>
          <w:numId w:val="10"/>
        </w:numPr>
        <w:spacing w:after="156" w:afterLines="50" w:line="360" w:lineRule="auto"/>
        <w:ind w:left="993" w:hanging="567" w:firstLineChars="0"/>
        <w:rPr>
          <w:rFonts w:ascii="宋体" w:hAnsi="宋体" w:eastAsia="宋体"/>
          <w:color w:val="auto"/>
          <w:szCs w:val="21"/>
        </w:rPr>
      </w:pPr>
      <w:r>
        <w:rPr>
          <w:rFonts w:ascii="宋体" w:hAnsi="宋体" w:eastAsia="宋体"/>
          <w:color w:val="auto"/>
          <w:szCs w:val="21"/>
        </w:rPr>
        <w:t>由意外事故、错用、滥用、疏忽、不当应用或改装、或不可抗力造成的损</w:t>
      </w:r>
      <w:r>
        <w:rPr>
          <w:rFonts w:hint="eastAsia" w:ascii="宋体" w:hAnsi="宋体" w:eastAsia="宋体"/>
          <w:color w:val="auto"/>
          <w:szCs w:val="21"/>
        </w:rPr>
        <w:t>害</w:t>
      </w:r>
      <w:r>
        <w:rPr>
          <w:rFonts w:ascii="宋体" w:hAnsi="宋体" w:eastAsia="宋体"/>
          <w:color w:val="auto"/>
          <w:szCs w:val="21"/>
        </w:rPr>
        <w:t>；或因</w:t>
      </w:r>
      <w:r>
        <w:rPr>
          <w:rFonts w:hint="eastAsia" w:ascii="宋体" w:hAnsi="宋体" w:eastAsia="宋体"/>
          <w:color w:val="auto"/>
          <w:szCs w:val="21"/>
        </w:rPr>
        <w:t>最终</w:t>
      </w:r>
      <w:r>
        <w:rPr>
          <w:rFonts w:ascii="宋体" w:hAnsi="宋体" w:eastAsia="宋体"/>
          <w:color w:val="auto"/>
          <w:szCs w:val="21"/>
        </w:rPr>
        <w:t>用户未依照</w:t>
      </w:r>
      <w:r>
        <w:rPr>
          <w:rFonts w:hint="eastAsia" w:ascii="宋体" w:hAnsi="宋体" w:eastAsia="宋体"/>
          <w:color w:val="auto"/>
          <w:szCs w:val="21"/>
        </w:rPr>
        <w:t>操作/产品说明使用</w:t>
      </w:r>
      <w:r>
        <w:rPr>
          <w:rFonts w:ascii="宋体" w:hAnsi="宋体" w:eastAsia="宋体"/>
          <w:color w:val="auto"/>
          <w:szCs w:val="21"/>
        </w:rPr>
        <w:t>设备、未保持厂家建议的运行环境和电源条件或任何其他非</w:t>
      </w:r>
      <w:r>
        <w:rPr>
          <w:rFonts w:hint="eastAsia" w:ascii="宋体" w:hAnsi="宋体" w:eastAsia="宋体"/>
          <w:color w:val="auto"/>
          <w:szCs w:val="21"/>
        </w:rPr>
        <w:t>乙方</w:t>
      </w:r>
      <w:r>
        <w:rPr>
          <w:rFonts w:ascii="宋体" w:hAnsi="宋体" w:eastAsia="宋体"/>
          <w:color w:val="auto"/>
          <w:szCs w:val="21"/>
        </w:rPr>
        <w:t>原因导致的损</w:t>
      </w:r>
      <w:r>
        <w:rPr>
          <w:rFonts w:hint="eastAsia" w:ascii="宋体" w:hAnsi="宋体" w:eastAsia="宋体"/>
          <w:color w:val="auto"/>
          <w:szCs w:val="21"/>
        </w:rPr>
        <w:t>害；</w:t>
      </w:r>
    </w:p>
    <w:p w14:paraId="7729595A">
      <w:pPr>
        <w:pStyle w:val="20"/>
        <w:numPr>
          <w:ilvl w:val="0"/>
          <w:numId w:val="10"/>
        </w:numPr>
        <w:spacing w:after="156" w:afterLines="50" w:line="360" w:lineRule="auto"/>
        <w:ind w:left="993" w:hanging="567" w:firstLineChars="0"/>
        <w:rPr>
          <w:rFonts w:ascii="宋体" w:hAnsi="宋体" w:eastAsia="宋体"/>
          <w:color w:val="auto"/>
          <w:szCs w:val="21"/>
        </w:rPr>
      </w:pPr>
      <w:r>
        <w:rPr>
          <w:rFonts w:ascii="宋体" w:hAnsi="宋体" w:eastAsia="宋体"/>
          <w:color w:val="auto"/>
          <w:szCs w:val="21"/>
        </w:rPr>
        <w:t>因</w:t>
      </w:r>
      <w:r>
        <w:rPr>
          <w:rFonts w:hint="eastAsia" w:ascii="宋体" w:hAnsi="宋体" w:eastAsia="宋体"/>
          <w:color w:val="auto"/>
          <w:szCs w:val="21"/>
        </w:rPr>
        <w:t>最终</w:t>
      </w:r>
      <w:r>
        <w:rPr>
          <w:rFonts w:ascii="宋体" w:hAnsi="宋体" w:eastAsia="宋体"/>
          <w:color w:val="auto"/>
          <w:szCs w:val="21"/>
        </w:rPr>
        <w:t>用户或任何第三方未</w:t>
      </w:r>
      <w:r>
        <w:rPr>
          <w:rFonts w:hint="eastAsia" w:ascii="宋体" w:hAnsi="宋体" w:eastAsia="宋体"/>
          <w:color w:val="auto"/>
          <w:szCs w:val="21"/>
        </w:rPr>
        <w:t>经乙方</w:t>
      </w:r>
      <w:r>
        <w:rPr>
          <w:rFonts w:ascii="宋体" w:hAnsi="宋体" w:eastAsia="宋体"/>
          <w:color w:val="auto"/>
          <w:szCs w:val="21"/>
        </w:rPr>
        <w:t>授权对设备进行修理、搬移、维修、添加或修改行为造成的</w:t>
      </w:r>
      <w:r>
        <w:rPr>
          <w:rFonts w:hint="eastAsia" w:ascii="宋体" w:hAnsi="宋体" w:eastAsia="宋体"/>
          <w:color w:val="auto"/>
          <w:szCs w:val="21"/>
        </w:rPr>
        <w:t>故障或</w:t>
      </w:r>
      <w:r>
        <w:rPr>
          <w:rFonts w:ascii="宋体" w:hAnsi="宋体" w:eastAsia="宋体"/>
          <w:color w:val="auto"/>
          <w:szCs w:val="21"/>
        </w:rPr>
        <w:t>缺陷；或因未经</w:t>
      </w:r>
      <w:r>
        <w:rPr>
          <w:rFonts w:hint="eastAsia" w:ascii="宋体" w:hAnsi="宋体" w:eastAsia="宋体"/>
          <w:color w:val="auto"/>
          <w:szCs w:val="21"/>
        </w:rPr>
        <w:t>乙方</w:t>
      </w:r>
      <w:r>
        <w:rPr>
          <w:rFonts w:ascii="宋体" w:hAnsi="宋体" w:eastAsia="宋体"/>
          <w:color w:val="auto"/>
          <w:szCs w:val="21"/>
        </w:rPr>
        <w:t>事先书面准许而添加和/或使用非</w:t>
      </w:r>
      <w:r>
        <w:rPr>
          <w:rFonts w:hint="eastAsia" w:ascii="宋体" w:hAnsi="宋体" w:eastAsia="宋体"/>
          <w:color w:val="auto"/>
          <w:szCs w:val="21"/>
        </w:rPr>
        <w:t>乙方</w:t>
      </w:r>
      <w:r>
        <w:rPr>
          <w:rFonts w:ascii="宋体" w:hAnsi="宋体" w:eastAsia="宋体"/>
          <w:color w:val="auto"/>
          <w:szCs w:val="21"/>
        </w:rPr>
        <w:t>提供的</w:t>
      </w:r>
      <w:r>
        <w:rPr>
          <w:rFonts w:hint="eastAsia" w:ascii="宋体" w:hAnsi="宋体" w:eastAsia="宋体"/>
          <w:color w:val="auto"/>
          <w:szCs w:val="21"/>
        </w:rPr>
        <w:t>备件</w:t>
      </w:r>
      <w:r>
        <w:rPr>
          <w:rFonts w:ascii="宋体" w:hAnsi="宋体" w:eastAsia="宋体"/>
          <w:color w:val="auto"/>
          <w:szCs w:val="21"/>
        </w:rPr>
        <w:t>、设备或软件而造成的</w:t>
      </w:r>
      <w:r>
        <w:rPr>
          <w:rFonts w:hint="eastAsia" w:ascii="宋体" w:hAnsi="宋体" w:eastAsia="宋体"/>
          <w:color w:val="auto"/>
          <w:szCs w:val="21"/>
        </w:rPr>
        <w:t>故障或</w:t>
      </w:r>
      <w:r>
        <w:rPr>
          <w:rFonts w:ascii="宋体" w:hAnsi="宋体" w:eastAsia="宋体"/>
          <w:color w:val="auto"/>
          <w:szCs w:val="21"/>
        </w:rPr>
        <w:t>缺陷</w:t>
      </w:r>
      <w:r>
        <w:rPr>
          <w:rFonts w:hint="eastAsia" w:ascii="宋体" w:hAnsi="宋体" w:eastAsia="宋体"/>
          <w:color w:val="auto"/>
          <w:szCs w:val="21"/>
        </w:rPr>
        <w:t>；</w:t>
      </w:r>
    </w:p>
    <w:p w14:paraId="0855D7E5">
      <w:pPr>
        <w:pStyle w:val="20"/>
        <w:numPr>
          <w:ilvl w:val="0"/>
          <w:numId w:val="10"/>
        </w:numPr>
        <w:spacing w:after="156" w:afterLines="50" w:line="360" w:lineRule="auto"/>
        <w:ind w:left="993" w:hanging="567" w:firstLineChars="0"/>
        <w:rPr>
          <w:rFonts w:ascii="宋体" w:hAnsi="宋体" w:eastAsia="宋体"/>
          <w:color w:val="auto"/>
          <w:szCs w:val="21"/>
        </w:rPr>
      </w:pPr>
      <w:r>
        <w:rPr>
          <w:rFonts w:ascii="宋体" w:hAnsi="宋体" w:eastAsia="宋体"/>
          <w:color w:val="auto"/>
          <w:szCs w:val="21"/>
        </w:rPr>
        <w:t>因</w:t>
      </w:r>
      <w:r>
        <w:rPr>
          <w:rFonts w:hint="eastAsia" w:ascii="宋体" w:hAnsi="宋体" w:eastAsia="宋体"/>
          <w:color w:val="auto"/>
          <w:szCs w:val="21"/>
        </w:rPr>
        <w:t>最终</w:t>
      </w:r>
      <w:r>
        <w:rPr>
          <w:rFonts w:ascii="宋体" w:hAnsi="宋体" w:eastAsia="宋体"/>
          <w:color w:val="auto"/>
          <w:szCs w:val="21"/>
        </w:rPr>
        <w:t>用户或任何第三方在本合同生效前对设备进行的任何修理或维修所造成的</w:t>
      </w:r>
      <w:r>
        <w:rPr>
          <w:rFonts w:hint="eastAsia" w:ascii="宋体" w:hAnsi="宋体" w:eastAsia="宋体"/>
          <w:color w:val="auto"/>
          <w:szCs w:val="21"/>
        </w:rPr>
        <w:t>故障或</w:t>
      </w:r>
      <w:r>
        <w:rPr>
          <w:rFonts w:ascii="宋体" w:hAnsi="宋体" w:eastAsia="宋体"/>
          <w:color w:val="auto"/>
          <w:szCs w:val="21"/>
        </w:rPr>
        <w:t>缺陷；</w:t>
      </w:r>
      <w:r>
        <w:rPr>
          <w:rFonts w:hint="eastAsia" w:ascii="宋体" w:hAnsi="宋体" w:eastAsia="宋体"/>
          <w:color w:val="auto"/>
          <w:szCs w:val="21"/>
        </w:rPr>
        <w:t>或在本合同生效前设备已有的故障或缺陷；或</w:t>
      </w:r>
    </w:p>
    <w:p w14:paraId="60482BF4">
      <w:pPr>
        <w:pStyle w:val="20"/>
        <w:numPr>
          <w:ilvl w:val="0"/>
          <w:numId w:val="10"/>
        </w:numPr>
        <w:spacing w:after="156" w:afterLines="50" w:line="360" w:lineRule="auto"/>
        <w:ind w:left="993" w:hanging="567" w:firstLineChars="0"/>
        <w:rPr>
          <w:rFonts w:ascii="宋体" w:hAnsi="宋体" w:eastAsia="宋体"/>
          <w:color w:val="auto"/>
          <w:szCs w:val="21"/>
        </w:rPr>
      </w:pPr>
      <w:r>
        <w:rPr>
          <w:rFonts w:hint="eastAsia" w:ascii="宋体" w:hAnsi="宋体" w:eastAsia="宋体"/>
          <w:color w:val="auto"/>
          <w:szCs w:val="21"/>
        </w:rPr>
        <w:t>非乙方生产的设备/产品、备件或软件、网络引起的故障。</w:t>
      </w:r>
    </w:p>
    <w:p w14:paraId="4BCB1F95">
      <w:pPr>
        <w:pStyle w:val="20"/>
        <w:numPr>
          <w:ilvl w:val="0"/>
          <w:numId w:val="8"/>
        </w:numPr>
        <w:spacing w:after="156" w:afterLines="50" w:line="360" w:lineRule="auto"/>
        <w:ind w:left="426" w:hanging="426" w:firstLineChars="0"/>
        <w:rPr>
          <w:rFonts w:ascii="宋体" w:hAnsi="宋体" w:eastAsia="宋体"/>
          <w:color w:val="auto"/>
          <w:szCs w:val="21"/>
        </w:rPr>
      </w:pPr>
      <w:r>
        <w:rPr>
          <w:rFonts w:ascii="宋体" w:hAnsi="宋体" w:eastAsia="宋体"/>
          <w:color w:val="auto"/>
          <w:szCs w:val="21"/>
        </w:rPr>
        <w:t>甲</w:t>
      </w:r>
      <w:r>
        <w:rPr>
          <w:rFonts w:hint="eastAsia" w:ascii="宋体" w:hAnsi="宋体" w:eastAsia="宋体"/>
          <w:color w:val="auto"/>
          <w:szCs w:val="21"/>
          <w:lang w:eastAsia="zh"/>
        </w:rPr>
        <w:t>方知悉并保证：本合同生效的前提条件是甲方已获得签署本合同的相关授权，有权自行或代表最终用户委托乙方提供本合同约定的服务；因此，如甲方非最终用户的，应在本合同签署时，向乙方提供最终用户的确认函。如本合同签署后，甲方以未得到最终用户授权或未与最终用户签署合同为由要求提前终止或变更本合同的，或者因甲方未得到上述授权导致本合同无法继续履行或无效的，均视为甲方违约，乙方有权按照违约责任条款追究甲方责任。</w:t>
      </w:r>
    </w:p>
    <w:p w14:paraId="4A877F34">
      <w:pPr>
        <w:pStyle w:val="20"/>
        <w:widowControl/>
        <w:numPr>
          <w:ilvl w:val="3"/>
          <w:numId w:val="7"/>
        </w:numPr>
        <w:tabs>
          <w:tab w:val="left" w:pos="426"/>
          <w:tab w:val="left" w:pos="5400"/>
        </w:tabs>
        <w:spacing w:after="156" w:afterLines="50" w:line="360" w:lineRule="auto"/>
        <w:ind w:left="2127" w:hanging="2127" w:firstLineChars="0"/>
        <w:rPr>
          <w:rFonts w:ascii="宋体" w:hAnsi="宋体" w:eastAsia="宋体"/>
          <w:b/>
          <w:color w:val="auto"/>
          <w:szCs w:val="21"/>
        </w:rPr>
      </w:pPr>
      <w:r>
        <w:rPr>
          <w:rFonts w:hint="eastAsia" w:ascii="宋体" w:hAnsi="宋体" w:eastAsia="宋体"/>
          <w:b/>
          <w:color w:val="auto"/>
          <w:szCs w:val="21"/>
        </w:rPr>
        <w:t>乙方义务</w:t>
      </w:r>
    </w:p>
    <w:p w14:paraId="4B27D331">
      <w:pPr>
        <w:pStyle w:val="20"/>
        <w:numPr>
          <w:ilvl w:val="0"/>
          <w:numId w:val="11"/>
        </w:numPr>
        <w:spacing w:after="156" w:afterLines="50" w:line="360" w:lineRule="auto"/>
        <w:ind w:left="426" w:hanging="426" w:firstLineChars="0"/>
        <w:rPr>
          <w:rFonts w:ascii="宋体" w:hAnsi="宋体" w:eastAsia="宋体"/>
          <w:color w:val="auto"/>
          <w:szCs w:val="21"/>
        </w:rPr>
      </w:pPr>
      <w:r>
        <w:rPr>
          <w:rFonts w:hint="eastAsia" w:ascii="宋体" w:hAnsi="宋体" w:eastAsia="宋体"/>
          <w:color w:val="auto"/>
          <w:szCs w:val="21"/>
        </w:rPr>
        <w:t>乙方在规定的常规正常工作时间内为最终用户提供维保服务。</w:t>
      </w:r>
    </w:p>
    <w:p w14:paraId="51DDEED1">
      <w:pPr>
        <w:pStyle w:val="20"/>
        <w:numPr>
          <w:ilvl w:val="0"/>
          <w:numId w:val="11"/>
        </w:numPr>
        <w:spacing w:after="156" w:afterLines="50" w:line="360" w:lineRule="auto"/>
        <w:ind w:left="426" w:hanging="426" w:firstLineChars="0"/>
        <w:rPr>
          <w:rFonts w:ascii="宋体" w:hAnsi="宋体" w:eastAsia="宋体"/>
          <w:color w:val="auto"/>
          <w:szCs w:val="21"/>
        </w:rPr>
      </w:pPr>
      <w:r>
        <w:rPr>
          <w:rFonts w:hint="eastAsia" w:ascii="宋体" w:hAnsi="宋体" w:eastAsia="宋体"/>
          <w:color w:val="auto"/>
          <w:szCs w:val="21"/>
        </w:rPr>
        <w:t>乙方负责按合同约定的内容提供服务并根据最终用户需求响应的实际情况自行决定在线远程支持、上门现场服务或其他方式提供如下一种或多种服务：</w:t>
      </w:r>
    </w:p>
    <w:p w14:paraId="4A1FB6F8">
      <w:pPr>
        <w:numPr>
          <w:ilvl w:val="0"/>
          <w:numId w:val="12"/>
        </w:numPr>
        <w:spacing w:after="156" w:afterLines="50" w:line="360" w:lineRule="auto"/>
        <w:ind w:left="993" w:hanging="567"/>
        <w:rPr>
          <w:rFonts w:ascii="宋体" w:hAnsi="宋体" w:eastAsia="宋体"/>
          <w:color w:val="auto"/>
          <w:szCs w:val="21"/>
        </w:rPr>
      </w:pPr>
      <w:r>
        <w:rPr>
          <w:rFonts w:hint="eastAsia" w:ascii="宋体" w:hAnsi="宋体" w:eastAsia="宋体"/>
          <w:color w:val="auto"/>
          <w:szCs w:val="21"/>
        </w:rPr>
        <w:t>维</w:t>
      </w:r>
      <w:r>
        <w:rPr>
          <w:rFonts w:hint="eastAsia" w:ascii="宋体" w:hAnsi="宋体" w:eastAsia="宋体"/>
          <w:color w:val="auto"/>
          <w:szCs w:val="21"/>
          <w:lang w:eastAsia="zh"/>
        </w:rPr>
        <w:t>修热线：400-6866-088，乙方的响应时间为在收到甲方或最终用户报修电话后2小时内。响应时间指乙方使用各种可能的手段或方式开始排除医疗设备故障的时间。</w:t>
      </w:r>
    </w:p>
    <w:p w14:paraId="3DBB2947">
      <w:pPr>
        <w:numPr>
          <w:ilvl w:val="0"/>
          <w:numId w:val="12"/>
        </w:numPr>
        <w:spacing w:after="156" w:afterLines="50" w:line="360" w:lineRule="auto"/>
        <w:ind w:left="993" w:hanging="567"/>
        <w:rPr>
          <w:rFonts w:ascii="宋体" w:hAnsi="宋体" w:eastAsia="宋体"/>
          <w:color w:val="auto"/>
          <w:szCs w:val="21"/>
        </w:rPr>
      </w:pPr>
      <w:r>
        <w:rPr>
          <w:rFonts w:hint="eastAsia" w:ascii="宋体" w:hAnsi="宋体" w:eastAsia="宋体"/>
          <w:color w:val="auto"/>
          <w:szCs w:val="21"/>
        </w:rPr>
        <w:t>乙方提供在线技术支持，协助最终用户分析和判断设备故障，及时制定维修方案。</w:t>
      </w:r>
    </w:p>
    <w:p w14:paraId="502B52D2">
      <w:pPr>
        <w:numPr>
          <w:ilvl w:val="0"/>
          <w:numId w:val="12"/>
        </w:numPr>
        <w:spacing w:after="156" w:afterLines="50" w:line="360" w:lineRule="auto"/>
        <w:ind w:left="993" w:hanging="567"/>
        <w:rPr>
          <w:rFonts w:ascii="宋体" w:hAnsi="宋体" w:eastAsia="宋体"/>
          <w:color w:val="auto"/>
          <w:szCs w:val="21"/>
        </w:rPr>
      </w:pPr>
      <w:r>
        <w:rPr>
          <w:rFonts w:hint="eastAsia" w:ascii="宋体" w:hAnsi="宋体" w:eastAsia="宋体"/>
          <w:color w:val="auto"/>
          <w:szCs w:val="21"/>
        </w:rPr>
        <w:t>如通过在线技术支持无法完成服务，乙方应派人员在48小时之内到达设备现场。服务由乙方认证合格的专业工程师或经乙方培训的特约维修团队提供。</w:t>
      </w:r>
    </w:p>
    <w:p w14:paraId="29152DD0">
      <w:pPr>
        <w:pStyle w:val="20"/>
        <w:numPr>
          <w:ilvl w:val="0"/>
          <w:numId w:val="11"/>
        </w:numPr>
        <w:spacing w:after="156" w:afterLines="50" w:line="360" w:lineRule="auto"/>
        <w:ind w:left="426" w:hanging="426" w:firstLineChars="0"/>
        <w:rPr>
          <w:rFonts w:ascii="宋体" w:hAnsi="宋体" w:eastAsia="宋体"/>
          <w:color w:val="auto"/>
          <w:szCs w:val="21"/>
        </w:rPr>
      </w:pPr>
      <w:r>
        <w:rPr>
          <w:rFonts w:hint="eastAsia" w:ascii="宋体" w:hAnsi="宋体" w:eastAsia="宋体"/>
          <w:color w:val="auto"/>
          <w:szCs w:val="21"/>
        </w:rPr>
        <w:t>开机率保证（</w:t>
      </w:r>
      <w:r>
        <w:rPr>
          <w:rFonts w:hint="eastAsia" w:ascii="宋体" w:hAnsi="宋体" w:eastAsia="宋体"/>
          <w:b/>
          <w:color w:val="auto"/>
          <w:szCs w:val="21"/>
        </w:rPr>
        <w:t>仅适用于服务内容中包含了保证开机率的设备</w:t>
      </w:r>
      <w:r>
        <w:rPr>
          <w:rFonts w:hint="eastAsia" w:ascii="宋体" w:hAnsi="宋体" w:eastAsia="宋体"/>
          <w:color w:val="auto"/>
          <w:szCs w:val="21"/>
        </w:rPr>
        <w:t>）：在维保服务期限内，保证设备每年</w:t>
      </w:r>
      <w:r>
        <w:rPr>
          <w:rFonts w:ascii="宋体" w:hAnsi="宋体" w:eastAsia="宋体"/>
          <w:color w:val="auto"/>
          <w:szCs w:val="21"/>
        </w:rPr>
        <w:t>95%</w:t>
      </w:r>
      <w:r>
        <w:rPr>
          <w:rFonts w:hint="eastAsia" w:ascii="宋体" w:hAnsi="宋体" w:eastAsia="宋体"/>
          <w:color w:val="auto"/>
          <w:szCs w:val="21"/>
        </w:rPr>
        <w:t>的开机率（停机时间少于</w:t>
      </w:r>
      <w:r>
        <w:rPr>
          <w:rFonts w:ascii="宋体" w:hAnsi="宋体" w:eastAsia="宋体"/>
          <w:color w:val="auto"/>
          <w:szCs w:val="21"/>
        </w:rPr>
        <w:t>5%）</w:t>
      </w:r>
      <w:r>
        <w:rPr>
          <w:rFonts w:hint="eastAsia" w:ascii="宋体" w:hAnsi="宋体" w:eastAsia="宋体"/>
          <w:color w:val="auto"/>
          <w:szCs w:val="21"/>
        </w:rPr>
        <w:t>，计算标准为一年</w:t>
      </w:r>
      <w:r>
        <w:rPr>
          <w:rFonts w:ascii="宋体" w:hAnsi="宋体" w:eastAsia="宋体"/>
          <w:color w:val="auto"/>
          <w:szCs w:val="21"/>
        </w:rPr>
        <w:t>365天</w:t>
      </w:r>
      <w:r>
        <w:rPr>
          <w:rFonts w:hint="eastAsia" w:ascii="宋体" w:hAnsi="宋体" w:eastAsia="宋体"/>
          <w:color w:val="auto"/>
          <w:szCs w:val="21"/>
        </w:rPr>
        <w:t>；如果此开机率因乙方原因没有达到，则对于开机率，每低于一天（不足一天按一天计算）</w:t>
      </w:r>
      <w:r>
        <w:rPr>
          <w:rFonts w:ascii="宋体" w:hAnsi="宋体" w:eastAsia="宋体"/>
          <w:color w:val="auto"/>
          <w:szCs w:val="21"/>
        </w:rPr>
        <w:t>，</w:t>
      </w:r>
      <w:r>
        <w:rPr>
          <w:rFonts w:hint="eastAsia" w:ascii="宋体" w:hAnsi="宋体" w:eastAsia="宋体"/>
          <w:color w:val="auto"/>
          <w:szCs w:val="21"/>
        </w:rPr>
        <w:t>合同期限将相应延长</w:t>
      </w:r>
      <w:r>
        <w:rPr>
          <w:rFonts w:ascii="宋体" w:hAnsi="宋体" w:eastAsia="宋体"/>
          <w:color w:val="auto"/>
          <w:szCs w:val="21"/>
        </w:rPr>
        <w:t>1</w:t>
      </w:r>
      <w:r>
        <w:rPr>
          <w:rFonts w:hint="eastAsia" w:ascii="宋体" w:hAnsi="宋体" w:eastAsia="宋体"/>
          <w:color w:val="auto"/>
          <w:szCs w:val="21"/>
        </w:rPr>
        <w:t>天。</w:t>
      </w:r>
      <w:r>
        <w:rPr>
          <w:rFonts w:ascii="宋体" w:hAnsi="宋体" w:eastAsia="宋体"/>
          <w:color w:val="auto"/>
          <w:szCs w:val="21"/>
        </w:rPr>
        <w:t>以下情况</w:t>
      </w:r>
      <w:r>
        <w:rPr>
          <w:rFonts w:hint="eastAsia" w:ascii="宋体" w:hAnsi="宋体" w:eastAsia="宋体"/>
          <w:color w:val="auto"/>
          <w:szCs w:val="21"/>
        </w:rPr>
        <w:t>导致的</w:t>
      </w:r>
      <w:r>
        <w:rPr>
          <w:rFonts w:ascii="宋体" w:hAnsi="宋体" w:eastAsia="宋体"/>
          <w:color w:val="auto"/>
          <w:szCs w:val="21"/>
        </w:rPr>
        <w:t>将</w:t>
      </w:r>
      <w:r>
        <w:rPr>
          <w:rFonts w:hint="eastAsia" w:ascii="宋体" w:hAnsi="宋体" w:eastAsia="宋体"/>
          <w:color w:val="auto"/>
          <w:szCs w:val="21"/>
        </w:rPr>
        <w:t>视</w:t>
      </w:r>
      <w:r>
        <w:rPr>
          <w:rFonts w:ascii="宋体" w:hAnsi="宋体" w:eastAsia="宋体"/>
          <w:color w:val="auto"/>
          <w:szCs w:val="21"/>
        </w:rPr>
        <w:t>为设备是正常运行的（即不作为“停机”）：</w:t>
      </w:r>
      <w:r>
        <w:rPr>
          <w:rFonts w:hint="eastAsia" w:ascii="宋体" w:hAnsi="宋体" w:eastAsia="宋体"/>
          <w:color w:val="auto"/>
          <w:szCs w:val="21"/>
        </w:rPr>
        <w:t>（1）乙方预防性保养期间；（2）乙方</w:t>
      </w:r>
      <w:r>
        <w:rPr>
          <w:rFonts w:ascii="宋体" w:hAnsi="宋体" w:eastAsia="宋体"/>
          <w:color w:val="auto"/>
          <w:szCs w:val="21"/>
        </w:rPr>
        <w:t>已安排对设备进行维修以使其正常运行，但是</w:t>
      </w:r>
      <w:r>
        <w:rPr>
          <w:rFonts w:hint="eastAsia" w:ascii="宋体" w:hAnsi="宋体" w:eastAsia="宋体"/>
          <w:color w:val="auto"/>
          <w:szCs w:val="21"/>
        </w:rPr>
        <w:t>最终</w:t>
      </w:r>
      <w:r>
        <w:rPr>
          <w:rFonts w:ascii="宋体" w:hAnsi="宋体" w:eastAsia="宋体"/>
          <w:color w:val="auto"/>
          <w:szCs w:val="21"/>
        </w:rPr>
        <w:t>用户拒绝维修</w:t>
      </w:r>
      <w:r>
        <w:rPr>
          <w:rFonts w:hint="eastAsia" w:ascii="宋体" w:hAnsi="宋体" w:eastAsia="宋体"/>
          <w:color w:val="auto"/>
          <w:szCs w:val="21"/>
        </w:rPr>
        <w:t>或推迟维修</w:t>
      </w:r>
      <w:r>
        <w:rPr>
          <w:rFonts w:ascii="宋体" w:hAnsi="宋体" w:eastAsia="宋体"/>
          <w:color w:val="auto"/>
          <w:szCs w:val="21"/>
        </w:rPr>
        <w:t>；(</w:t>
      </w:r>
      <w:r>
        <w:rPr>
          <w:rFonts w:hint="eastAsia" w:ascii="宋体" w:hAnsi="宋体" w:eastAsia="宋体"/>
          <w:color w:val="auto"/>
          <w:szCs w:val="21"/>
        </w:rPr>
        <w:t>3</w:t>
      </w:r>
      <w:r>
        <w:rPr>
          <w:rFonts w:ascii="宋体" w:hAnsi="宋体" w:eastAsia="宋体"/>
          <w:color w:val="auto"/>
          <w:szCs w:val="21"/>
        </w:rPr>
        <w:t>)设备未</w:t>
      </w:r>
      <w:r>
        <w:rPr>
          <w:rFonts w:hint="eastAsia" w:ascii="宋体" w:hAnsi="宋体" w:eastAsia="宋体"/>
          <w:color w:val="auto"/>
          <w:szCs w:val="21"/>
        </w:rPr>
        <w:t>被</w:t>
      </w:r>
      <w:r>
        <w:rPr>
          <w:rFonts w:ascii="宋体" w:hAnsi="宋体" w:eastAsia="宋体"/>
          <w:color w:val="auto"/>
          <w:szCs w:val="21"/>
        </w:rPr>
        <w:t>提供给</w:t>
      </w:r>
      <w:r>
        <w:rPr>
          <w:rFonts w:hint="eastAsia" w:ascii="宋体" w:hAnsi="宋体" w:eastAsia="宋体"/>
          <w:color w:val="auto"/>
          <w:szCs w:val="21"/>
        </w:rPr>
        <w:t>乙方</w:t>
      </w:r>
      <w:r>
        <w:rPr>
          <w:rFonts w:ascii="宋体" w:hAnsi="宋体" w:eastAsia="宋体"/>
          <w:color w:val="auto"/>
          <w:szCs w:val="21"/>
        </w:rPr>
        <w:t>工程师</w:t>
      </w:r>
      <w:r>
        <w:rPr>
          <w:rFonts w:hint="eastAsia" w:ascii="宋体" w:hAnsi="宋体" w:eastAsia="宋体"/>
          <w:color w:val="auto"/>
          <w:szCs w:val="21"/>
        </w:rPr>
        <w:t>维修</w:t>
      </w:r>
      <w:r>
        <w:rPr>
          <w:rFonts w:ascii="宋体" w:hAnsi="宋体" w:eastAsia="宋体"/>
          <w:color w:val="auto"/>
          <w:szCs w:val="21"/>
        </w:rPr>
        <w:t>；(</w:t>
      </w:r>
      <w:r>
        <w:rPr>
          <w:rFonts w:hint="eastAsia" w:ascii="宋体" w:hAnsi="宋体" w:eastAsia="宋体"/>
          <w:color w:val="auto"/>
          <w:szCs w:val="21"/>
        </w:rPr>
        <w:t>3</w:t>
      </w:r>
      <w:r>
        <w:rPr>
          <w:rFonts w:ascii="宋体" w:hAnsi="宋体" w:eastAsia="宋体"/>
          <w:color w:val="auto"/>
          <w:szCs w:val="21"/>
        </w:rPr>
        <w:t>)设备因为以下原因或与此相关的原因而停机：(i)错用、过失或操作错误，(ii)不适当的环境条件（即不符合</w:t>
      </w:r>
      <w:r>
        <w:rPr>
          <w:rFonts w:hint="eastAsia" w:ascii="宋体" w:hAnsi="宋体" w:eastAsia="宋体"/>
          <w:color w:val="auto"/>
          <w:szCs w:val="21"/>
        </w:rPr>
        <w:t>乙方</w:t>
      </w:r>
      <w:r>
        <w:rPr>
          <w:rFonts w:ascii="宋体" w:hAnsi="宋体" w:eastAsia="宋体"/>
          <w:color w:val="auto"/>
          <w:szCs w:val="21"/>
        </w:rPr>
        <w:t>对环境的要求），包括在温度和湿度的要求、对电源的要求，如电压、频率、脉冲或瞬间电流的要求，(iii)上述第</w:t>
      </w:r>
      <w:r>
        <w:rPr>
          <w:rFonts w:hint="eastAsia" w:ascii="宋体" w:hAnsi="宋体" w:eastAsia="宋体"/>
          <w:color w:val="auto"/>
          <w:szCs w:val="21"/>
        </w:rPr>
        <w:t>2</w:t>
      </w:r>
      <w:r>
        <w:rPr>
          <w:rFonts w:ascii="宋体" w:hAnsi="宋体" w:eastAsia="宋体"/>
          <w:color w:val="auto"/>
          <w:szCs w:val="21"/>
        </w:rPr>
        <w:t>.</w:t>
      </w:r>
      <w:r>
        <w:rPr>
          <w:rFonts w:hint="eastAsia" w:ascii="宋体" w:hAnsi="宋体" w:eastAsia="宋体"/>
          <w:color w:val="auto"/>
          <w:szCs w:val="21"/>
        </w:rPr>
        <w:t>7</w:t>
      </w:r>
      <w:r>
        <w:rPr>
          <w:rFonts w:ascii="宋体" w:hAnsi="宋体" w:eastAsia="宋体"/>
          <w:color w:val="auto"/>
          <w:szCs w:val="21"/>
        </w:rPr>
        <w:t>条项下的任何情形，或(iv)不可抗力事件。如果设备不能正常运行，</w:t>
      </w:r>
      <w:r>
        <w:rPr>
          <w:rFonts w:hint="eastAsia" w:ascii="宋体" w:hAnsi="宋体" w:eastAsia="宋体"/>
          <w:color w:val="auto"/>
          <w:szCs w:val="21"/>
        </w:rPr>
        <w:t>甲方或最终用户应</w:t>
      </w:r>
      <w:r>
        <w:rPr>
          <w:rFonts w:ascii="宋体" w:hAnsi="宋体" w:eastAsia="宋体"/>
          <w:color w:val="auto"/>
          <w:szCs w:val="21"/>
        </w:rPr>
        <w:t>立即通知</w:t>
      </w:r>
      <w:r>
        <w:rPr>
          <w:rFonts w:hint="eastAsia" w:ascii="宋体" w:hAnsi="宋体" w:eastAsia="宋体"/>
          <w:color w:val="auto"/>
          <w:szCs w:val="21"/>
        </w:rPr>
        <w:t>乙方客户服务中心</w:t>
      </w:r>
      <w:r>
        <w:rPr>
          <w:rFonts w:ascii="宋体" w:hAnsi="宋体" w:eastAsia="宋体"/>
          <w:color w:val="auto"/>
          <w:szCs w:val="21"/>
        </w:rPr>
        <w:t>报修</w:t>
      </w:r>
      <w:r>
        <w:rPr>
          <w:rFonts w:hint="eastAsia" w:ascii="宋体" w:hAnsi="宋体" w:eastAsia="宋体"/>
          <w:color w:val="auto"/>
          <w:szCs w:val="21"/>
        </w:rPr>
        <w:t>。</w:t>
      </w:r>
      <w:r>
        <w:rPr>
          <w:rFonts w:ascii="宋体" w:hAnsi="宋体" w:eastAsia="宋体"/>
          <w:color w:val="auto"/>
          <w:szCs w:val="21"/>
        </w:rPr>
        <w:t>停机时间自向</w:t>
      </w:r>
      <w:r>
        <w:rPr>
          <w:rFonts w:hint="eastAsia" w:ascii="宋体" w:hAnsi="宋体" w:eastAsia="宋体"/>
          <w:color w:val="auto"/>
          <w:szCs w:val="21"/>
        </w:rPr>
        <w:t>乙方</w:t>
      </w:r>
      <w:r>
        <w:rPr>
          <w:rFonts w:ascii="宋体" w:hAnsi="宋体" w:eastAsia="宋体"/>
          <w:color w:val="auto"/>
          <w:szCs w:val="21"/>
        </w:rPr>
        <w:t>发出上述通知之时起算</w:t>
      </w:r>
      <w:r>
        <w:rPr>
          <w:rFonts w:hint="eastAsia" w:ascii="宋体" w:hAnsi="宋体" w:eastAsia="宋体"/>
          <w:color w:val="auto"/>
          <w:szCs w:val="21"/>
        </w:rPr>
        <w:t>或设备停止运行、不能被用来治疗和诊断病人开始（以较晚值为准），到可再次运行为止。</w:t>
      </w:r>
    </w:p>
    <w:p w14:paraId="2C8B5124">
      <w:pPr>
        <w:pStyle w:val="20"/>
        <w:numPr>
          <w:ilvl w:val="0"/>
          <w:numId w:val="11"/>
        </w:numPr>
        <w:spacing w:after="156" w:afterLines="50" w:line="360" w:lineRule="auto"/>
        <w:ind w:left="426" w:hanging="426" w:firstLineChars="0"/>
        <w:rPr>
          <w:rFonts w:ascii="宋体" w:hAnsi="宋体" w:eastAsia="宋体"/>
          <w:color w:val="auto"/>
          <w:szCs w:val="21"/>
        </w:rPr>
      </w:pPr>
      <w:r>
        <w:rPr>
          <w:rFonts w:hint="eastAsia" w:ascii="宋体" w:hAnsi="宋体" w:eastAsia="宋体"/>
          <w:color w:val="auto"/>
          <w:szCs w:val="21"/>
        </w:rPr>
        <w:t>如按照合同约定乙方提供更换备件服务的，乙方</w:t>
      </w:r>
      <w:r>
        <w:rPr>
          <w:rFonts w:ascii="宋体" w:hAnsi="宋体" w:eastAsia="宋体"/>
          <w:color w:val="auto"/>
          <w:szCs w:val="21"/>
        </w:rPr>
        <w:t>保证</w:t>
      </w:r>
      <w:r>
        <w:rPr>
          <w:rFonts w:hint="eastAsia" w:ascii="宋体" w:hAnsi="宋体" w:eastAsia="宋体"/>
          <w:color w:val="auto"/>
          <w:szCs w:val="21"/>
        </w:rPr>
        <w:t>其更换的备件在更换时设计和工艺无缺陷，且符合原厂性能指标要求；如有不符，乙方应负责更换。上述服务中更换下来的备件归属乙方所有。</w:t>
      </w:r>
    </w:p>
    <w:p w14:paraId="77B49DFA">
      <w:pPr>
        <w:pStyle w:val="20"/>
        <w:widowControl/>
        <w:numPr>
          <w:ilvl w:val="3"/>
          <w:numId w:val="7"/>
        </w:numPr>
        <w:tabs>
          <w:tab w:val="left" w:pos="426"/>
          <w:tab w:val="left" w:pos="5400"/>
        </w:tabs>
        <w:spacing w:after="156" w:afterLines="50" w:line="360" w:lineRule="auto"/>
        <w:ind w:left="2127" w:hanging="2127" w:firstLineChars="0"/>
        <w:rPr>
          <w:rFonts w:ascii="宋体" w:hAnsi="宋体" w:eastAsia="宋体"/>
          <w:b/>
          <w:color w:val="auto"/>
          <w:szCs w:val="21"/>
        </w:rPr>
      </w:pPr>
      <w:r>
        <w:rPr>
          <w:rFonts w:hint="eastAsia" w:ascii="宋体" w:hAnsi="宋体" w:eastAsia="宋体"/>
          <w:b/>
          <w:color w:val="auto"/>
          <w:szCs w:val="21"/>
        </w:rPr>
        <w:t>保密</w:t>
      </w:r>
    </w:p>
    <w:p w14:paraId="671D8018">
      <w:pPr>
        <w:pStyle w:val="20"/>
        <w:numPr>
          <w:ilvl w:val="0"/>
          <w:numId w:val="13"/>
        </w:numPr>
        <w:spacing w:after="156" w:afterLines="50" w:line="360" w:lineRule="auto"/>
        <w:ind w:left="426" w:hanging="426" w:firstLineChars="0"/>
        <w:rPr>
          <w:rFonts w:ascii="宋体" w:hAnsi="宋体" w:eastAsia="宋体"/>
          <w:color w:val="auto"/>
          <w:szCs w:val="21"/>
        </w:rPr>
      </w:pPr>
      <w:r>
        <w:rPr>
          <w:rFonts w:hint="eastAsia" w:ascii="宋体" w:hAnsi="宋体" w:eastAsia="宋体"/>
          <w:color w:val="auto"/>
          <w:szCs w:val="21"/>
        </w:rPr>
        <w:t>合同双方承诺并同意：对于本合同服务费及付款条件、一方在磋商、签订、履行本合同的整个过程中获得另一方的商务、财务、技术、产品的信息、用户资料或其他标明保密的文件或信息的内容（以下简称“保密信息”）将采取合理的保密措施进行保密。</w:t>
      </w:r>
    </w:p>
    <w:p w14:paraId="71C817B8">
      <w:pPr>
        <w:pStyle w:val="20"/>
        <w:numPr>
          <w:ilvl w:val="0"/>
          <w:numId w:val="13"/>
        </w:numPr>
        <w:spacing w:after="156" w:afterLines="50" w:line="360" w:lineRule="auto"/>
        <w:ind w:left="426" w:hanging="426" w:firstLineChars="0"/>
        <w:rPr>
          <w:rFonts w:ascii="宋体" w:hAnsi="宋体" w:eastAsia="宋体"/>
          <w:color w:val="auto"/>
          <w:szCs w:val="21"/>
        </w:rPr>
      </w:pPr>
      <w:r>
        <w:rPr>
          <w:rFonts w:hint="eastAsia" w:ascii="宋体" w:hAnsi="宋体" w:eastAsia="宋体"/>
          <w:color w:val="auto"/>
          <w:szCs w:val="21"/>
        </w:rPr>
        <w:t>除为实现本合同的目的外，保密信息接收方（以下简称“接收方”）不得复制或使用保密信息，接收方仅可向其确有知悉必要的雇员披露另一方提供的保密信息，但同时须确保其雇员遵守本条规定的保密义务。</w:t>
      </w:r>
    </w:p>
    <w:p w14:paraId="2442E97A">
      <w:pPr>
        <w:pStyle w:val="20"/>
        <w:numPr>
          <w:ilvl w:val="0"/>
          <w:numId w:val="13"/>
        </w:numPr>
        <w:spacing w:after="156" w:afterLines="50" w:line="360" w:lineRule="auto"/>
        <w:ind w:left="426" w:hanging="426" w:firstLineChars="0"/>
        <w:rPr>
          <w:rFonts w:ascii="宋体" w:hAnsi="宋体" w:eastAsia="宋体"/>
          <w:color w:val="auto"/>
          <w:szCs w:val="21"/>
        </w:rPr>
      </w:pPr>
      <w:r>
        <w:rPr>
          <w:rFonts w:hint="eastAsia" w:ascii="宋体" w:hAnsi="宋体" w:eastAsia="宋体"/>
          <w:color w:val="auto"/>
          <w:szCs w:val="21"/>
        </w:rPr>
        <w:t>除本合同另有规定外，接收方未经披露方事先的书面同意，不得披露、反向工程、反向组装、重建任何保密信息或向任何第三方提供任何保密信息。</w:t>
      </w:r>
    </w:p>
    <w:p w14:paraId="3603BC12">
      <w:pPr>
        <w:pStyle w:val="20"/>
        <w:numPr>
          <w:ilvl w:val="0"/>
          <w:numId w:val="13"/>
        </w:numPr>
        <w:spacing w:after="156" w:afterLines="50" w:line="360" w:lineRule="auto"/>
        <w:ind w:left="426" w:hanging="426" w:firstLineChars="0"/>
        <w:rPr>
          <w:rFonts w:ascii="宋体" w:hAnsi="宋体" w:eastAsia="宋体"/>
          <w:color w:val="auto"/>
          <w:szCs w:val="21"/>
        </w:rPr>
      </w:pPr>
      <w:r>
        <w:rPr>
          <w:rFonts w:hint="eastAsia" w:ascii="宋体" w:hAnsi="宋体" w:eastAsia="宋体"/>
          <w:color w:val="auto"/>
          <w:szCs w:val="21"/>
        </w:rPr>
        <w:t>本条约定的保密义务期限至保密信息公开时为止。保密义务在合同期满、解除或终止后仍然有效。</w:t>
      </w:r>
    </w:p>
    <w:p w14:paraId="4852D4B5">
      <w:pPr>
        <w:pStyle w:val="20"/>
        <w:widowControl/>
        <w:numPr>
          <w:ilvl w:val="3"/>
          <w:numId w:val="7"/>
        </w:numPr>
        <w:tabs>
          <w:tab w:val="left" w:pos="426"/>
          <w:tab w:val="left" w:pos="5400"/>
        </w:tabs>
        <w:spacing w:after="156" w:afterLines="50" w:line="360" w:lineRule="auto"/>
        <w:ind w:left="2127" w:hanging="2127" w:firstLineChars="0"/>
        <w:rPr>
          <w:rFonts w:ascii="宋体" w:hAnsi="宋体" w:eastAsia="宋体"/>
          <w:b/>
          <w:color w:val="auto"/>
          <w:szCs w:val="21"/>
        </w:rPr>
      </w:pPr>
      <w:r>
        <w:rPr>
          <w:rFonts w:hint="eastAsia" w:ascii="宋体" w:hAnsi="宋体" w:eastAsia="宋体"/>
          <w:b/>
          <w:color w:val="auto"/>
          <w:szCs w:val="21"/>
        </w:rPr>
        <w:t>网络安全与数据保护</w:t>
      </w:r>
    </w:p>
    <w:p w14:paraId="2CB6F940">
      <w:pPr>
        <w:pStyle w:val="20"/>
        <w:numPr>
          <w:ilvl w:val="0"/>
          <w:numId w:val="14"/>
        </w:numPr>
        <w:spacing w:after="156" w:afterLines="50" w:line="360" w:lineRule="auto"/>
        <w:ind w:left="426" w:hanging="426" w:firstLineChars="0"/>
        <w:rPr>
          <w:rFonts w:ascii="宋体" w:hAnsi="宋体" w:eastAsia="宋体"/>
          <w:color w:val="auto"/>
          <w:szCs w:val="21"/>
        </w:rPr>
      </w:pPr>
      <w:r>
        <w:rPr>
          <w:rFonts w:hint="eastAsia" w:ascii="宋体" w:hAnsi="宋体" w:eastAsia="宋体"/>
          <w:color w:val="auto"/>
          <w:szCs w:val="21"/>
        </w:rPr>
        <w:t>甲方及最终用户知悉乙方可因履行本合同之必要收集医疗影像信息（为避免歧义，患者影像信息的原始图像应由甲方或最终用户保存，设备仅提供短期存储功能）。基于最小必要原则，甲方或最终用户提供的影像信息应当不包括直接或间接识别患者身份的个人信息，例如患者的姓名、照片、出生日期、证件号码、联系方式、家庭住址、病历号、CT/MR具体的操作时间等。若前述个人信息的提供是必需的，甲方或最终用户应当为传递个人信息的合法性创设前提条件（包括但不限于满足可适用的数据保护或网络安全法律法规的告知或同意）。该等情形下，各方作为独立的数据处理者对己方对个人信息的数据处理行为（包括但不限于收集、分享、分析、处理和存储）的合法性、合规性和规范性承担独立责任。</w:t>
      </w:r>
    </w:p>
    <w:p w14:paraId="0284C965">
      <w:pPr>
        <w:pStyle w:val="20"/>
        <w:numPr>
          <w:ilvl w:val="0"/>
          <w:numId w:val="14"/>
        </w:numPr>
        <w:spacing w:after="156" w:afterLines="50" w:line="360" w:lineRule="auto"/>
        <w:ind w:left="426" w:hanging="426" w:firstLineChars="0"/>
        <w:rPr>
          <w:rFonts w:ascii="宋体" w:hAnsi="宋体" w:eastAsia="宋体"/>
          <w:color w:val="auto"/>
          <w:szCs w:val="21"/>
        </w:rPr>
      </w:pPr>
      <w:r>
        <w:rPr>
          <w:rFonts w:hint="eastAsia" w:ascii="宋体" w:hAnsi="宋体" w:eastAsia="宋体"/>
          <w:color w:val="auto"/>
          <w:szCs w:val="21"/>
        </w:rPr>
        <w:t>基于全球共识，互联网可能出现网络故障或受到黑客侵袭，不存在坚不可破的防火墙或安全措施。乙方尽力以合理措施应对可预见的网络攻击或数据泄露，并致力于持续提升设备的安全性能。</w:t>
      </w:r>
      <w:r>
        <w:rPr>
          <w:rFonts w:hint="eastAsia" w:ascii="宋体" w:hAnsi="宋体" w:eastAsia="宋体"/>
          <w:color w:val="auto"/>
          <w:szCs w:val="21"/>
        </w:rPr>
        <w:t>乙方应采取符合行业标准的合理且必要的技术措施，以保障其软件设备的安全运行，防范网络安全事件。</w:t>
      </w:r>
      <w:r>
        <w:rPr>
          <w:rFonts w:hint="eastAsia" w:ascii="宋体" w:hAnsi="宋体" w:eastAsia="宋体"/>
          <w:color w:val="auto"/>
          <w:szCs w:val="21"/>
        </w:rPr>
        <w:t>乙方不保证其软件设备：</w:t>
      </w:r>
      <w:r>
        <w:rPr>
          <w:rFonts w:ascii="宋体" w:hAnsi="宋体" w:eastAsia="宋体"/>
          <w:color w:val="auto"/>
          <w:szCs w:val="21"/>
        </w:rPr>
        <w:t>1</w:t>
      </w:r>
      <w:r>
        <w:rPr>
          <w:rFonts w:hint="eastAsia" w:ascii="宋体" w:hAnsi="宋体" w:eastAsia="宋体"/>
          <w:color w:val="auto"/>
          <w:szCs w:val="21"/>
        </w:rPr>
        <w:t>）不含缺陷或错误；</w:t>
      </w:r>
      <w:r>
        <w:rPr>
          <w:rFonts w:ascii="宋体" w:hAnsi="宋体" w:eastAsia="宋体"/>
          <w:color w:val="auto"/>
          <w:szCs w:val="21"/>
        </w:rPr>
        <w:t>2</w:t>
      </w:r>
      <w:r>
        <w:rPr>
          <w:rFonts w:hint="eastAsia" w:ascii="宋体" w:hAnsi="宋体" w:eastAsia="宋体"/>
          <w:color w:val="auto"/>
          <w:szCs w:val="21"/>
        </w:rPr>
        <w:t>）免于互联网攻击或数据泄露；</w:t>
      </w:r>
      <w:r>
        <w:rPr>
          <w:rFonts w:ascii="宋体" w:hAnsi="宋体" w:eastAsia="宋体"/>
          <w:color w:val="auto"/>
          <w:szCs w:val="21"/>
        </w:rPr>
        <w:t>3</w:t>
      </w:r>
      <w:r>
        <w:rPr>
          <w:rFonts w:hint="eastAsia" w:ascii="宋体" w:hAnsi="宋体" w:eastAsia="宋体"/>
          <w:color w:val="auto"/>
          <w:szCs w:val="21"/>
        </w:rPr>
        <w:t>）不会被恶意软件侵袭；</w:t>
      </w:r>
      <w:r>
        <w:rPr>
          <w:rFonts w:ascii="宋体" w:hAnsi="宋体" w:eastAsia="宋体"/>
          <w:color w:val="auto"/>
          <w:szCs w:val="21"/>
        </w:rPr>
        <w:t>4</w:t>
      </w:r>
      <w:r>
        <w:rPr>
          <w:rFonts w:hint="eastAsia" w:ascii="宋体" w:hAnsi="宋体" w:eastAsia="宋体"/>
          <w:color w:val="auto"/>
          <w:szCs w:val="21"/>
        </w:rPr>
        <w:t>）不存在安全漏洞；</w:t>
      </w:r>
      <w:r>
        <w:rPr>
          <w:rFonts w:ascii="宋体" w:hAnsi="宋体" w:eastAsia="宋体"/>
          <w:color w:val="auto"/>
          <w:szCs w:val="21"/>
        </w:rPr>
        <w:t>5</w:t>
      </w:r>
      <w:r>
        <w:rPr>
          <w:rFonts w:hint="eastAsia" w:ascii="宋体" w:hAnsi="宋体" w:eastAsia="宋体"/>
          <w:color w:val="auto"/>
          <w:szCs w:val="21"/>
        </w:rPr>
        <w:t>）免于非授权入侵；或</w:t>
      </w:r>
      <w:r>
        <w:rPr>
          <w:rFonts w:ascii="宋体" w:hAnsi="宋体" w:eastAsia="宋体"/>
          <w:color w:val="auto"/>
          <w:szCs w:val="21"/>
        </w:rPr>
        <w:t xml:space="preserve">6) </w:t>
      </w:r>
      <w:r>
        <w:rPr>
          <w:rFonts w:hint="eastAsia" w:ascii="宋体" w:hAnsi="宋体" w:eastAsia="宋体"/>
          <w:color w:val="auto"/>
          <w:szCs w:val="21"/>
        </w:rPr>
        <w:t>无其他网络安全风险。</w:t>
      </w:r>
      <w:r>
        <w:rPr>
          <w:rFonts w:hint="eastAsia" w:ascii="宋体" w:hAnsi="宋体" w:eastAsia="宋体"/>
          <w:color w:val="auto"/>
          <w:szCs w:val="21"/>
        </w:rPr>
        <w:t>若发生任何网络安全事件，乙方应立即书面通知甲方，并积极协助甲方进行处置。乙方承诺其提供的软件设备在交付时不存在已知的安全漏洞。因乙方软件设备自身缺陷或乙方未尽到合理安全保护义务导致的数据泄露或其他损失，乙方应承担相应责任。</w:t>
      </w:r>
    </w:p>
    <w:p w14:paraId="3B2EE38F">
      <w:pPr>
        <w:pStyle w:val="20"/>
        <w:numPr>
          <w:ilvl w:val="0"/>
          <w:numId w:val="14"/>
        </w:numPr>
        <w:spacing w:after="156" w:afterLines="50" w:line="360" w:lineRule="auto"/>
        <w:ind w:left="426" w:hanging="426" w:firstLineChars="0"/>
        <w:rPr>
          <w:rFonts w:ascii="宋体" w:hAnsi="宋体" w:eastAsia="宋体"/>
          <w:color w:val="auto"/>
          <w:szCs w:val="21"/>
        </w:rPr>
      </w:pPr>
      <w:r>
        <w:rPr>
          <w:rFonts w:hint="eastAsia" w:ascii="宋体" w:hAnsi="宋体" w:eastAsia="宋体"/>
          <w:color w:val="auto"/>
          <w:szCs w:val="21"/>
        </w:rPr>
        <w:t>任何一方因违反本条款而引起的另一方任何实际遭受的损害，应对另一方承担赔偿责任，如果因违反本条款而对数据主体或其他第三方造成损害事由，违约方应当保证守约方不受损害，且守约方有权追偿与违约方责任相对应的赔偿部分。</w:t>
      </w:r>
    </w:p>
    <w:p w14:paraId="10DCC3D0">
      <w:pPr>
        <w:pStyle w:val="20"/>
        <w:widowControl/>
        <w:numPr>
          <w:ilvl w:val="3"/>
          <w:numId w:val="7"/>
        </w:numPr>
        <w:tabs>
          <w:tab w:val="left" w:pos="426"/>
          <w:tab w:val="left" w:pos="5400"/>
        </w:tabs>
        <w:spacing w:after="156" w:afterLines="50" w:line="360" w:lineRule="auto"/>
        <w:ind w:left="2127" w:hanging="2127" w:firstLineChars="0"/>
        <w:rPr>
          <w:rFonts w:ascii="宋体" w:hAnsi="宋体" w:eastAsia="宋体"/>
          <w:b/>
          <w:color w:val="auto"/>
          <w:szCs w:val="21"/>
        </w:rPr>
      </w:pPr>
      <w:r>
        <w:rPr>
          <w:rFonts w:hint="eastAsia" w:ascii="宋体" w:hAnsi="宋体" w:eastAsia="宋体"/>
          <w:b/>
          <w:color w:val="auto"/>
          <w:szCs w:val="21"/>
        </w:rPr>
        <w:t>合同的变更和转让</w:t>
      </w:r>
      <w:r>
        <w:rPr>
          <w:rFonts w:ascii="宋体" w:hAnsi="宋体" w:eastAsia="宋体"/>
          <w:b/>
          <w:color w:val="auto"/>
          <w:szCs w:val="21"/>
        </w:rPr>
        <w:t>/转包</w:t>
      </w:r>
    </w:p>
    <w:p w14:paraId="0050CB66">
      <w:pPr>
        <w:pStyle w:val="20"/>
        <w:spacing w:after="156" w:afterLines="50" w:line="360" w:lineRule="auto"/>
        <w:ind w:left="426" w:leftChars="202" w:hanging="2" w:firstLineChars="0"/>
        <w:rPr>
          <w:rFonts w:ascii="宋体" w:hAnsi="宋体" w:eastAsia="宋体"/>
          <w:b/>
          <w:color w:val="auto"/>
          <w:szCs w:val="21"/>
          <w:lang w:eastAsia="zh"/>
        </w:rPr>
      </w:pPr>
      <w:r>
        <w:rPr>
          <w:rFonts w:hint="eastAsia" w:ascii="宋体" w:hAnsi="宋体" w:eastAsia="宋体"/>
          <w:color w:val="auto"/>
          <w:szCs w:val="21"/>
        </w:rPr>
        <w:t>合</w:t>
      </w:r>
      <w:r>
        <w:rPr>
          <w:rFonts w:hint="eastAsia" w:ascii="宋体" w:hAnsi="宋体" w:eastAsia="宋体"/>
          <w:color w:val="auto"/>
          <w:szCs w:val="21"/>
          <w:lang w:eastAsia="zh"/>
        </w:rPr>
        <w:t>同有效期内，任何一方不得擅自变更合同的权利和义务，除非双方以书面的形式确认。但为履行本合同之目的，</w:t>
      </w:r>
      <w:r>
        <w:rPr>
          <w:rFonts w:hint="eastAsia" w:ascii="宋体" w:hAnsi="宋体" w:eastAsia="宋体"/>
          <w:color w:val="auto"/>
          <w:szCs w:val="21"/>
          <w:lang w:eastAsia="zh"/>
        </w:rPr>
        <w:t>乙方</w:t>
      </w:r>
      <w:r>
        <w:rPr>
          <w:rFonts w:hint="eastAsia" w:ascii="宋体" w:hAnsi="宋体" w:eastAsia="宋体"/>
          <w:color w:val="auto"/>
          <w:szCs w:val="21"/>
          <w:lang w:val="en-US" w:eastAsia="zh-CN"/>
        </w:rPr>
        <w:t>在得到甲方及最终用户书面许可后</w:t>
      </w:r>
      <w:r>
        <w:rPr>
          <w:rFonts w:hint="eastAsia" w:ascii="宋体" w:hAnsi="宋体" w:eastAsia="宋体"/>
          <w:color w:val="auto"/>
          <w:szCs w:val="21"/>
          <w:lang w:eastAsia="zh"/>
        </w:rPr>
        <w:t>可以将本合同的部分或全部权利义务转让或分包给其关联公司或授权的维修商。</w:t>
      </w:r>
      <w:r>
        <w:rPr>
          <w:rFonts w:hint="eastAsia" w:ascii="宋体" w:hAnsi="宋体" w:eastAsia="宋体"/>
          <w:color w:val="auto"/>
          <w:szCs w:val="21"/>
          <w:lang w:eastAsia="zh"/>
        </w:rPr>
        <w:t>未经甲方事先书面同意，乙方不得将本合同项下的权利或义务转让给第三方，也不得将本合同项下的服务分包给第三方。即使获得同意，乙方仍应对分包方的行为向甲方承担全部责任。</w:t>
      </w:r>
    </w:p>
    <w:p w14:paraId="3697AA73">
      <w:pPr>
        <w:pStyle w:val="20"/>
        <w:widowControl/>
        <w:numPr>
          <w:ilvl w:val="3"/>
          <w:numId w:val="7"/>
        </w:numPr>
        <w:tabs>
          <w:tab w:val="left" w:pos="426"/>
          <w:tab w:val="left" w:pos="5400"/>
        </w:tabs>
        <w:spacing w:after="156" w:afterLines="50" w:line="360" w:lineRule="auto"/>
        <w:ind w:left="2127" w:hanging="2127" w:firstLineChars="0"/>
        <w:rPr>
          <w:rFonts w:ascii="宋体" w:hAnsi="宋体" w:eastAsia="宋体"/>
          <w:b/>
          <w:color w:val="auto"/>
          <w:szCs w:val="21"/>
        </w:rPr>
      </w:pPr>
      <w:r>
        <w:rPr>
          <w:rFonts w:hint="eastAsia" w:ascii="宋体" w:hAnsi="宋体" w:eastAsia="宋体"/>
          <w:b/>
          <w:color w:val="auto"/>
          <w:szCs w:val="21"/>
        </w:rPr>
        <w:t>不可抗力</w:t>
      </w:r>
    </w:p>
    <w:p w14:paraId="7372BF90">
      <w:pPr>
        <w:pStyle w:val="20"/>
        <w:spacing w:after="156" w:afterLines="50" w:line="360" w:lineRule="auto"/>
        <w:ind w:left="426" w:firstLine="0" w:firstLineChars="0"/>
        <w:rPr>
          <w:rFonts w:ascii="宋体" w:hAnsi="宋体" w:eastAsia="宋体"/>
          <w:color w:val="auto"/>
          <w:szCs w:val="21"/>
        </w:rPr>
      </w:pPr>
      <w:r>
        <w:rPr>
          <w:rFonts w:hint="eastAsia" w:ascii="宋体" w:hAnsi="宋体" w:eastAsia="宋体"/>
          <w:color w:val="auto"/>
          <w:szCs w:val="21"/>
        </w:rPr>
        <w:t>任何一方由于不可抗力的原因不能履行合同义务时，应及时向对方书面通知不能履行或者不能完全履行的理由，在不可抗力情形消除后15天内，遭遇不可抗力的一方应向对方提供有关主管机关的证明。对于合同的后续履行由双方根据实际情况协商确定（包括但不限于允许延期履行、部分履行或者不履行合同等），并根据情况可部分或者全部免予承担违约责任。</w:t>
      </w:r>
    </w:p>
    <w:p w14:paraId="142BF1F9">
      <w:pPr>
        <w:pStyle w:val="20"/>
        <w:widowControl/>
        <w:numPr>
          <w:ilvl w:val="3"/>
          <w:numId w:val="7"/>
        </w:numPr>
        <w:tabs>
          <w:tab w:val="left" w:pos="426"/>
          <w:tab w:val="left" w:pos="5400"/>
        </w:tabs>
        <w:spacing w:after="156" w:afterLines="50" w:line="360" w:lineRule="auto"/>
        <w:ind w:left="2127" w:hanging="2127" w:firstLineChars="0"/>
        <w:rPr>
          <w:rFonts w:ascii="宋体" w:hAnsi="宋体" w:eastAsia="宋体"/>
          <w:b/>
          <w:color w:val="auto"/>
          <w:szCs w:val="21"/>
        </w:rPr>
      </w:pPr>
      <w:r>
        <w:rPr>
          <w:rFonts w:hint="eastAsia" w:ascii="宋体" w:hAnsi="宋体" w:eastAsia="宋体"/>
          <w:b/>
          <w:color w:val="auto"/>
          <w:szCs w:val="21"/>
        </w:rPr>
        <w:t>合同</w:t>
      </w:r>
      <w:r>
        <w:rPr>
          <w:rFonts w:hint="eastAsia" w:ascii="宋体" w:hAnsi="宋体" w:eastAsia="宋体"/>
          <w:b/>
          <w:color w:val="auto"/>
          <w:szCs w:val="21"/>
          <w:lang w:eastAsia="zh"/>
        </w:rPr>
        <w:t>中止、终止与解除</w:t>
      </w:r>
    </w:p>
    <w:p w14:paraId="74EE9E44">
      <w:pPr>
        <w:pStyle w:val="6"/>
        <w:numPr>
          <w:ilvl w:val="0"/>
          <w:numId w:val="15"/>
        </w:numPr>
        <w:spacing w:after="156" w:afterLines="50" w:line="360" w:lineRule="auto"/>
        <w:ind w:left="426" w:hanging="426"/>
        <w:rPr>
          <w:rFonts w:ascii="宋体" w:hAnsi="宋体" w:eastAsia="宋体" w:cs="Times New Roman"/>
          <w:color w:val="auto"/>
          <w:sz w:val="21"/>
          <w:szCs w:val="21"/>
        </w:rPr>
      </w:pPr>
      <w:r>
        <w:rPr>
          <w:rFonts w:hint="eastAsia" w:ascii="宋体" w:hAnsi="宋体" w:eastAsia="宋体" w:cs="宋体"/>
          <w:color w:val="auto"/>
          <w:sz w:val="21"/>
          <w:szCs w:val="21"/>
          <w:lang w:bidi="ar"/>
        </w:rPr>
        <w:t>非乙方原因导致乙方中止/暂停提供维保服务的，合同约定的服务期限不应因此而延长。</w:t>
      </w:r>
    </w:p>
    <w:p w14:paraId="013A9B7B">
      <w:pPr>
        <w:pStyle w:val="6"/>
        <w:numPr>
          <w:ilvl w:val="0"/>
          <w:numId w:val="15"/>
        </w:numPr>
        <w:spacing w:after="156" w:afterLines="50" w:line="360" w:lineRule="auto"/>
        <w:ind w:left="426" w:hanging="426"/>
        <w:rPr>
          <w:rFonts w:ascii="宋体" w:hAnsi="宋体" w:eastAsia="宋体" w:cs="Times New Roman"/>
          <w:color w:val="auto"/>
          <w:sz w:val="21"/>
          <w:szCs w:val="21"/>
        </w:rPr>
      </w:pPr>
      <w:r>
        <w:rPr>
          <w:rFonts w:hint="eastAsia" w:ascii="宋体" w:hAnsi="宋体" w:eastAsia="宋体" w:cs="宋体"/>
          <w:color w:val="auto"/>
          <w:sz w:val="21"/>
          <w:szCs w:val="21"/>
          <w:lang w:bidi="ar"/>
        </w:rPr>
        <w:t>非乙方原因导致乙方解除本合同的，</w:t>
      </w:r>
      <w:r>
        <w:rPr>
          <w:rFonts w:hint="eastAsia" w:ascii="宋体" w:hAnsi="宋体" w:eastAsia="宋体" w:cs="宋体"/>
          <w:color w:val="auto"/>
          <w:sz w:val="21"/>
          <w:szCs w:val="21"/>
          <w:lang w:bidi="ar"/>
        </w:rPr>
        <w:t>乙方应退还甲方未履行服务期限对应的服务费。甲方应按实际服务期限（不足一天的按一天计）向乙方支付截至合同解除之日止的服务费。</w:t>
      </w:r>
    </w:p>
    <w:p w14:paraId="406B6C11">
      <w:pPr>
        <w:pStyle w:val="6"/>
        <w:numPr>
          <w:ilvl w:val="0"/>
          <w:numId w:val="15"/>
        </w:numPr>
        <w:spacing w:after="156" w:afterLines="50" w:line="360" w:lineRule="auto"/>
        <w:ind w:left="426" w:hanging="426"/>
        <w:rPr>
          <w:rFonts w:ascii="宋体" w:hAnsi="宋体" w:eastAsia="宋体" w:cs="Times New Roman"/>
          <w:color w:val="auto"/>
          <w:sz w:val="21"/>
          <w:szCs w:val="21"/>
        </w:rPr>
      </w:pPr>
      <w:r>
        <w:rPr>
          <w:rFonts w:hint="eastAsia" w:ascii="宋体" w:hAnsi="宋体" w:eastAsia="宋体" w:cs="宋体"/>
          <w:color w:val="auto"/>
          <w:sz w:val="21"/>
          <w:szCs w:val="21"/>
          <w:lang w:bidi="ar"/>
        </w:rPr>
        <w:t>未经乙方书面许可，甲方或最终用户擅自拆机、装机、移机、保养及更换来自第三方的备件、附件及易耗品，乙方</w:t>
      </w:r>
      <w:r>
        <w:rPr>
          <w:rFonts w:hint="eastAsia" w:ascii="宋体" w:hAnsi="宋体" w:eastAsia="宋体" w:cs="宋体"/>
          <w:color w:val="auto"/>
          <w:sz w:val="21"/>
          <w:szCs w:val="21"/>
          <w:lang w:val="en-US" w:eastAsia="zh-CN" w:bidi="ar"/>
        </w:rPr>
        <w:t>应书面告知风险</w:t>
      </w:r>
      <w:r>
        <w:rPr>
          <w:rFonts w:hint="eastAsia" w:ascii="宋体" w:hAnsi="宋体" w:eastAsia="宋体" w:cs="宋体"/>
          <w:color w:val="auto"/>
          <w:sz w:val="21"/>
          <w:szCs w:val="21"/>
          <w:lang w:bidi="ar"/>
        </w:rPr>
        <w:t>。</w:t>
      </w:r>
    </w:p>
    <w:p w14:paraId="741D8C5C">
      <w:pPr>
        <w:pStyle w:val="6"/>
        <w:numPr>
          <w:ilvl w:val="0"/>
          <w:numId w:val="15"/>
        </w:numPr>
        <w:spacing w:after="156" w:afterLines="50" w:line="360" w:lineRule="auto"/>
        <w:ind w:left="426" w:hanging="426"/>
        <w:rPr>
          <w:rFonts w:ascii="宋体" w:hAnsi="宋体" w:eastAsia="宋体" w:cs="Times New Roman"/>
          <w:color w:val="auto"/>
          <w:sz w:val="21"/>
          <w:szCs w:val="21"/>
        </w:rPr>
      </w:pPr>
      <w:r>
        <w:rPr>
          <w:rFonts w:hint="eastAsia" w:ascii="宋体" w:hAnsi="宋体" w:eastAsia="宋体" w:cs="宋体"/>
          <w:color w:val="auto"/>
          <w:sz w:val="21"/>
          <w:szCs w:val="21"/>
          <w:lang w:bidi="ar"/>
        </w:rPr>
        <w:t>除合同另有约定外，如果合同双方中任意一方有合理原因需要终止或修改合同的，必须以书面形式提前一个月通知对方，经双方协商一致</w:t>
      </w:r>
      <w:r>
        <w:rPr>
          <w:rFonts w:hint="eastAsia" w:ascii="宋体" w:hAnsi="宋体" w:eastAsia="宋体" w:cs="宋体"/>
          <w:color w:val="auto"/>
          <w:sz w:val="21"/>
          <w:szCs w:val="21"/>
          <w:lang w:val="en-US" w:eastAsia="zh-CN" w:bidi="ar"/>
        </w:rPr>
        <w:t>并书面确认</w:t>
      </w:r>
      <w:r>
        <w:rPr>
          <w:rFonts w:hint="eastAsia" w:ascii="宋体" w:hAnsi="宋体" w:eastAsia="宋体" w:cs="宋体"/>
          <w:color w:val="auto"/>
          <w:sz w:val="21"/>
          <w:szCs w:val="21"/>
          <w:lang w:bidi="ar"/>
        </w:rPr>
        <w:t>后，合同终止或修改方可生效。对终止或修改合同生效日期之前乙方已经提供服务或根据服务期限计算的服务费（以较高者为准），甲方仍有义务支付。对于非乙方违约导致的提前终止合同，如在合同签署时乙方给予了甲方价格优惠的，甲方应按约定补足价格差额并赔偿因此造成的乙方损失。</w:t>
      </w:r>
    </w:p>
    <w:p w14:paraId="2C9E95F7">
      <w:pPr>
        <w:pStyle w:val="20"/>
        <w:widowControl/>
        <w:numPr>
          <w:ilvl w:val="3"/>
          <w:numId w:val="7"/>
        </w:numPr>
        <w:tabs>
          <w:tab w:val="left" w:pos="426"/>
          <w:tab w:val="left" w:pos="5400"/>
        </w:tabs>
        <w:spacing w:after="156" w:afterLines="50" w:line="360" w:lineRule="auto"/>
        <w:ind w:left="2127" w:hanging="2127" w:firstLineChars="0"/>
        <w:rPr>
          <w:rFonts w:ascii="宋体" w:hAnsi="宋体" w:eastAsia="宋体"/>
          <w:b/>
          <w:color w:val="auto"/>
          <w:szCs w:val="21"/>
        </w:rPr>
      </w:pPr>
      <w:r>
        <w:rPr>
          <w:rFonts w:hint="eastAsia" w:ascii="宋体" w:hAnsi="宋体" w:eastAsia="宋体"/>
          <w:b/>
          <w:color w:val="auto"/>
          <w:szCs w:val="21"/>
        </w:rPr>
        <w:t>责任限制</w:t>
      </w:r>
    </w:p>
    <w:p w14:paraId="5AEBF7F9">
      <w:pPr>
        <w:pStyle w:val="20"/>
        <w:numPr>
          <w:ilvl w:val="0"/>
          <w:numId w:val="16"/>
        </w:numPr>
        <w:spacing w:after="156" w:afterLines="50" w:line="360" w:lineRule="auto"/>
        <w:ind w:left="426" w:hanging="426" w:firstLineChars="0"/>
        <w:rPr>
          <w:rFonts w:ascii="宋体" w:hAnsi="宋体" w:eastAsia="宋体"/>
          <w:color w:val="auto"/>
          <w:szCs w:val="21"/>
        </w:rPr>
      </w:pPr>
      <w:r>
        <w:rPr>
          <w:rFonts w:hint="eastAsia" w:ascii="宋体" w:hAnsi="宋体" w:eastAsia="宋体"/>
          <w:color w:val="auto"/>
          <w:szCs w:val="21"/>
        </w:rPr>
        <w:t>在</w:t>
      </w:r>
      <w:r>
        <w:rPr>
          <w:rFonts w:hint="eastAsia" w:ascii="宋体" w:hAnsi="宋体" w:eastAsia="宋体"/>
          <w:color w:val="auto"/>
          <w:szCs w:val="21"/>
          <w:lang w:eastAsia="zh"/>
        </w:rPr>
        <w:t>本合同下及与本合同履行相关的任何情形下，</w:t>
      </w:r>
      <w:r>
        <w:rPr>
          <w:rFonts w:hint="eastAsia" w:ascii="宋体" w:hAnsi="宋体" w:eastAsia="宋体"/>
          <w:color w:val="auto"/>
          <w:szCs w:val="21"/>
          <w:lang w:eastAsia="zh"/>
        </w:rPr>
        <w:t>因乙方故意或重大过失导致甲方或最终用户遭受损失的，乙方的赔偿责任不受本合同总价的限制，应赔偿甲方因此遭受的直接经济损失。</w:t>
      </w:r>
      <w:r>
        <w:rPr>
          <w:rFonts w:hint="eastAsia" w:ascii="宋体" w:hAnsi="宋体" w:eastAsia="宋体"/>
          <w:color w:val="auto"/>
          <w:szCs w:val="21"/>
          <w:lang w:eastAsia="zh"/>
        </w:rPr>
        <w:t>同时，乙方对于因甲方或最终用户误用产品、意外事故、灾难及甲方或最终用户的疏忽、滥用、不当的操作、数据泄露、测试或者安装以及甲方或最终用户或者第三者改装、调整或者维修引起的任何缺陷不承担责任。</w:t>
      </w:r>
    </w:p>
    <w:p w14:paraId="29950418">
      <w:pPr>
        <w:pStyle w:val="20"/>
        <w:numPr>
          <w:ilvl w:val="0"/>
          <w:numId w:val="16"/>
        </w:numPr>
        <w:spacing w:after="156" w:afterLines="50" w:line="360" w:lineRule="auto"/>
        <w:ind w:left="426" w:hanging="426" w:firstLineChars="0"/>
        <w:rPr>
          <w:rFonts w:ascii="宋体" w:hAnsi="宋体" w:eastAsia="宋体"/>
          <w:color w:val="auto"/>
          <w:szCs w:val="21"/>
        </w:rPr>
      </w:pPr>
      <w:r>
        <w:rPr>
          <w:rFonts w:hint="eastAsia" w:ascii="宋体" w:hAnsi="宋体" w:eastAsia="宋体"/>
          <w:color w:val="auto"/>
          <w:szCs w:val="21"/>
        </w:rPr>
        <w:t>在任何情形下</w:t>
      </w:r>
      <w:r>
        <w:rPr>
          <w:rFonts w:hint="eastAsia" w:ascii="宋体" w:hAnsi="宋体" w:eastAsia="宋体"/>
          <w:color w:val="auto"/>
          <w:szCs w:val="21"/>
          <w:lang w:eastAsia="zh-CN"/>
        </w:rPr>
        <w:t>，</w:t>
      </w:r>
      <w:r>
        <w:rPr>
          <w:rFonts w:hint="eastAsia" w:ascii="宋体" w:hAnsi="宋体" w:eastAsia="宋体"/>
          <w:color w:val="auto"/>
          <w:szCs w:val="21"/>
          <w:lang w:val="en-US" w:eastAsia="zh-CN"/>
        </w:rPr>
        <w:t>上</w:t>
      </w:r>
      <w:r>
        <w:rPr>
          <w:rFonts w:hint="eastAsia" w:ascii="宋体" w:hAnsi="宋体" w:eastAsia="宋体"/>
          <w:color w:val="auto"/>
          <w:szCs w:val="21"/>
          <w:lang w:eastAsia="zh-CN"/>
        </w:rPr>
        <w:t>述</w:t>
      </w:r>
      <w:r>
        <w:rPr>
          <w:rFonts w:hint="eastAsia" w:ascii="宋体" w:hAnsi="宋体" w:eastAsia="宋体"/>
          <w:color w:val="auto"/>
          <w:szCs w:val="21"/>
          <w:lang w:val="en-US" w:eastAsia="zh-CN"/>
        </w:rPr>
        <w:t>条款</w:t>
      </w:r>
      <w:r>
        <w:rPr>
          <w:rFonts w:hint="eastAsia" w:ascii="宋体" w:hAnsi="宋体" w:eastAsia="宋体"/>
          <w:color w:val="auto"/>
          <w:szCs w:val="21"/>
          <w:lang w:eastAsia="zh-CN"/>
        </w:rPr>
        <w:t>的赔偿责任上限不适用于因乙方原因导致的人身伤害、财产损失（特别是设备本身的重大损坏）或违反保密义务给甲方造成的损失</w:t>
      </w:r>
      <w:r>
        <w:rPr>
          <w:rFonts w:hint="eastAsia" w:ascii="宋体" w:hAnsi="宋体" w:eastAsia="宋体"/>
          <w:color w:val="auto"/>
          <w:szCs w:val="21"/>
        </w:rPr>
        <w:t>。</w:t>
      </w:r>
    </w:p>
    <w:p w14:paraId="54CAD121">
      <w:pPr>
        <w:pStyle w:val="20"/>
        <w:numPr>
          <w:ilvl w:val="0"/>
          <w:numId w:val="16"/>
        </w:numPr>
        <w:spacing w:after="156" w:afterLines="50" w:line="360" w:lineRule="auto"/>
        <w:ind w:left="426" w:hanging="426" w:firstLineChars="0"/>
        <w:rPr>
          <w:rFonts w:ascii="宋体" w:hAnsi="宋体" w:eastAsia="宋体"/>
          <w:color w:val="auto"/>
          <w:szCs w:val="21"/>
        </w:rPr>
      </w:pPr>
      <w:r>
        <w:rPr>
          <w:rFonts w:hint="eastAsia" w:ascii="宋体" w:hAnsi="宋体" w:eastAsia="宋体"/>
          <w:color w:val="auto"/>
          <w:szCs w:val="21"/>
        </w:rPr>
        <w:t>本第9条约定应同样适用于：乙方的人员、乙方授权的服务商及其人员和被许可者及其人员。</w:t>
      </w:r>
    </w:p>
    <w:p w14:paraId="03C5B29D">
      <w:pPr>
        <w:pStyle w:val="20"/>
        <w:widowControl/>
        <w:numPr>
          <w:ilvl w:val="3"/>
          <w:numId w:val="7"/>
        </w:numPr>
        <w:tabs>
          <w:tab w:val="left" w:pos="426"/>
          <w:tab w:val="left" w:pos="5400"/>
        </w:tabs>
        <w:spacing w:after="156" w:afterLines="50" w:line="360" w:lineRule="auto"/>
        <w:ind w:left="2127" w:hanging="2127" w:firstLineChars="0"/>
        <w:rPr>
          <w:rFonts w:ascii="宋体" w:hAnsi="宋体" w:eastAsia="宋体"/>
          <w:b/>
          <w:color w:val="auto"/>
          <w:szCs w:val="21"/>
        </w:rPr>
      </w:pPr>
      <w:r>
        <w:rPr>
          <w:rFonts w:hint="eastAsia" w:ascii="宋体" w:hAnsi="宋体" w:eastAsia="宋体"/>
          <w:b/>
          <w:color w:val="auto"/>
          <w:szCs w:val="21"/>
        </w:rPr>
        <w:t>通知</w:t>
      </w:r>
    </w:p>
    <w:p w14:paraId="5261D96C">
      <w:pPr>
        <w:pStyle w:val="20"/>
        <w:widowControl/>
        <w:numPr>
          <w:ilvl w:val="0"/>
          <w:numId w:val="17"/>
        </w:numPr>
        <w:tabs>
          <w:tab w:val="left" w:pos="426"/>
        </w:tabs>
        <w:spacing w:after="156" w:afterLines="50" w:line="360" w:lineRule="auto"/>
        <w:ind w:left="426" w:hanging="426" w:firstLineChars="0"/>
        <w:rPr>
          <w:rFonts w:ascii="宋体" w:hAnsi="宋体" w:eastAsia="宋体"/>
          <w:color w:val="auto"/>
          <w:szCs w:val="21"/>
        </w:rPr>
      </w:pPr>
      <w:r>
        <w:rPr>
          <w:rFonts w:hint="eastAsia" w:ascii="宋体" w:hAnsi="宋体" w:eastAsia="宋体"/>
          <w:color w:val="auto"/>
          <w:szCs w:val="21"/>
        </w:rPr>
        <w:t>根据本合同需要发出的全部通知均采用书面形式，以亲自递交、邮寄或电子邮件等方式送达对方。双方在本合同文首中载明的地址适用于本合同相关的各类通知、协议、文书的送达，包括但不限于合同履行期间各类通知、协议等文件的送达，以及合同发生纠纷时相关文件和法律文书的送达。</w:t>
      </w:r>
    </w:p>
    <w:p w14:paraId="0EDEDA68">
      <w:pPr>
        <w:pStyle w:val="20"/>
        <w:widowControl/>
        <w:numPr>
          <w:ilvl w:val="0"/>
          <w:numId w:val="17"/>
        </w:numPr>
        <w:tabs>
          <w:tab w:val="left" w:pos="426"/>
        </w:tabs>
        <w:spacing w:after="156" w:afterLines="50" w:line="360" w:lineRule="auto"/>
        <w:ind w:left="426" w:hanging="426" w:firstLineChars="0"/>
        <w:rPr>
          <w:rFonts w:ascii="宋体" w:hAnsi="宋体" w:eastAsia="宋体"/>
          <w:color w:val="auto"/>
          <w:szCs w:val="21"/>
        </w:rPr>
      </w:pPr>
      <w:r>
        <w:rPr>
          <w:rFonts w:hint="eastAsia" w:ascii="宋体" w:hAnsi="宋体" w:eastAsia="宋体"/>
          <w:color w:val="auto"/>
          <w:szCs w:val="21"/>
        </w:rPr>
        <w:t>双方均负有回应对方发出的通知的义务。所有通知和往来通讯将被认为是于下列日期正式送达被通知方并为其所知悉：若采用亲自递交的方式，则以被通知方收到该通知的日期为准；若采用快递的方式，则以交邮后的第5个工作日为准；若采用电子邮件的方式，则以发送方电子邮箱显示发送成功的时间为准。</w:t>
      </w:r>
    </w:p>
    <w:p w14:paraId="166D76EA">
      <w:pPr>
        <w:pStyle w:val="20"/>
        <w:widowControl/>
        <w:numPr>
          <w:ilvl w:val="0"/>
          <w:numId w:val="17"/>
        </w:numPr>
        <w:tabs>
          <w:tab w:val="left" w:pos="426"/>
        </w:tabs>
        <w:spacing w:after="156" w:afterLines="50" w:line="360" w:lineRule="auto"/>
        <w:ind w:left="426" w:hanging="426" w:firstLineChars="0"/>
        <w:rPr>
          <w:rFonts w:ascii="宋体" w:hAnsi="宋体" w:eastAsia="宋体"/>
          <w:color w:val="auto"/>
          <w:szCs w:val="21"/>
        </w:rPr>
      </w:pPr>
      <w:r>
        <w:rPr>
          <w:rFonts w:hint="eastAsia" w:ascii="宋体" w:hAnsi="宋体" w:eastAsia="宋体"/>
          <w:color w:val="auto"/>
          <w:szCs w:val="21"/>
        </w:rPr>
        <w:t>一方变更通讯地址或者联系方式的，应及时将变更后的地址、联系方式按上述通知方式以书面形式通知对方，否则变更方应对此造成的一切后果承担责任。</w:t>
      </w:r>
    </w:p>
    <w:p w14:paraId="0077AC27">
      <w:pPr>
        <w:pStyle w:val="20"/>
        <w:widowControl/>
        <w:numPr>
          <w:ilvl w:val="3"/>
          <w:numId w:val="7"/>
        </w:numPr>
        <w:tabs>
          <w:tab w:val="left" w:pos="426"/>
          <w:tab w:val="left" w:pos="5400"/>
        </w:tabs>
        <w:spacing w:after="156" w:afterLines="50" w:line="360" w:lineRule="auto"/>
        <w:ind w:left="2127" w:hanging="2127" w:firstLineChars="0"/>
        <w:rPr>
          <w:rFonts w:ascii="宋体" w:hAnsi="宋体" w:eastAsia="宋体"/>
          <w:b/>
          <w:color w:val="auto"/>
          <w:szCs w:val="21"/>
        </w:rPr>
      </w:pPr>
      <w:r>
        <w:rPr>
          <w:rFonts w:hint="eastAsia" w:ascii="宋体" w:hAnsi="宋体" w:eastAsia="宋体"/>
          <w:b/>
          <w:color w:val="auto"/>
          <w:szCs w:val="21"/>
        </w:rPr>
        <w:t>违约责任</w:t>
      </w:r>
    </w:p>
    <w:p w14:paraId="0A14100A">
      <w:pPr>
        <w:pStyle w:val="20"/>
        <w:numPr>
          <w:ilvl w:val="0"/>
          <w:numId w:val="18"/>
        </w:numPr>
        <w:spacing w:after="156" w:afterLines="50" w:line="360" w:lineRule="auto"/>
        <w:ind w:left="567" w:hanging="567" w:firstLineChars="0"/>
        <w:rPr>
          <w:rFonts w:ascii="宋体" w:hAnsi="宋体" w:eastAsia="宋体"/>
          <w:color w:val="auto"/>
          <w:szCs w:val="21"/>
        </w:rPr>
      </w:pPr>
      <w:r>
        <w:rPr>
          <w:rFonts w:hint="eastAsia" w:ascii="宋体" w:hAnsi="宋体" w:eastAsia="宋体"/>
          <w:color w:val="auto"/>
          <w:szCs w:val="21"/>
        </w:rPr>
        <w:t>甲方应在合同约定的付款之日前支付服务费，如果甲方发生逾期支付情形，乙方有权按照逾期付款金额的万分之四/天的标准向甲方收取利息；如甲方逾期或非足额支付任何一期款项超过3（三）个月的，乙方</w:t>
      </w:r>
      <w:r>
        <w:rPr>
          <w:rFonts w:hint="eastAsia" w:ascii="宋体" w:hAnsi="宋体" w:eastAsia="宋体"/>
          <w:color w:val="auto"/>
          <w:szCs w:val="21"/>
          <w:lang w:val="en-US" w:eastAsia="zh-CN"/>
        </w:rPr>
        <w:t>经书面催告后</w:t>
      </w:r>
      <w:r>
        <w:rPr>
          <w:rFonts w:hint="eastAsia" w:ascii="宋体" w:hAnsi="宋体" w:eastAsia="宋体"/>
          <w:color w:val="auto"/>
          <w:szCs w:val="21"/>
        </w:rPr>
        <w:t>有权向甲方收取逾期付款金额的10%作为违约金并有权单方解除本合同。</w:t>
      </w:r>
    </w:p>
    <w:p w14:paraId="3EB80821">
      <w:pPr>
        <w:pStyle w:val="20"/>
        <w:numPr>
          <w:ilvl w:val="0"/>
          <w:numId w:val="18"/>
        </w:numPr>
        <w:spacing w:after="156" w:afterLines="50" w:line="360" w:lineRule="auto"/>
        <w:ind w:left="567" w:hanging="567" w:firstLineChars="0"/>
        <w:rPr>
          <w:rFonts w:ascii="宋体" w:hAnsi="宋体" w:eastAsia="宋体"/>
          <w:color w:val="auto"/>
          <w:szCs w:val="21"/>
        </w:rPr>
      </w:pPr>
      <w:r>
        <w:rPr>
          <w:rFonts w:hint="eastAsia" w:ascii="宋体" w:hAnsi="宋体" w:eastAsia="宋体"/>
          <w:color w:val="auto"/>
          <w:szCs w:val="21"/>
        </w:rPr>
        <w:t>如</w:t>
      </w:r>
      <w:r>
        <w:rPr>
          <w:rFonts w:hint="eastAsia" w:ascii="宋体" w:hAnsi="宋体" w:eastAsia="宋体"/>
          <w:color w:val="auto"/>
          <w:szCs w:val="21"/>
          <w:lang w:eastAsia="zh"/>
        </w:rPr>
        <w:t>因甲方原因导致本合同无效、本合同提前解除或者本合同无法继续履行的，甲方应向乙方支付合同总价的10%作为违约金，如违约金不足以弥补乙方损失的，</w:t>
      </w:r>
      <w:r>
        <w:rPr>
          <w:rFonts w:hint="eastAsia" w:ascii="宋体" w:hAnsi="宋体" w:eastAsia="宋体"/>
          <w:color w:val="auto"/>
          <w:szCs w:val="21"/>
          <w:lang w:eastAsia="zh"/>
        </w:rPr>
        <w:t>乙方可要求甲方赔偿超出部分</w:t>
      </w:r>
      <w:r>
        <w:rPr>
          <w:rFonts w:hint="eastAsia" w:ascii="宋体" w:hAnsi="宋体" w:eastAsia="宋体"/>
          <w:color w:val="auto"/>
          <w:szCs w:val="21"/>
          <w:lang w:eastAsia="zh"/>
        </w:rPr>
        <w:t>。乙方损失包括但不限于并要求甲方赔偿等于合同金额的损失；由此造成的全部责任（包括但不限于甲方与最终用户或第三方之间的合同违约、侵权等责任）由甲方承担。</w:t>
      </w:r>
    </w:p>
    <w:p w14:paraId="351CBDAE">
      <w:pPr>
        <w:pStyle w:val="20"/>
        <w:numPr>
          <w:ilvl w:val="0"/>
          <w:numId w:val="18"/>
        </w:numPr>
        <w:spacing w:after="156" w:afterLines="50" w:line="360" w:lineRule="auto"/>
        <w:ind w:left="567" w:hanging="567" w:firstLineChars="0"/>
        <w:rPr>
          <w:rFonts w:ascii="宋体" w:hAnsi="宋体" w:eastAsia="宋体"/>
          <w:color w:val="auto"/>
          <w:szCs w:val="21"/>
        </w:rPr>
      </w:pPr>
      <w:r>
        <w:rPr>
          <w:rFonts w:hint="eastAsia" w:ascii="宋体" w:hAnsi="宋体" w:eastAsia="宋体"/>
          <w:color w:val="auto"/>
          <w:szCs w:val="21"/>
        </w:rPr>
        <w:t>因一方违约导致另一方通过诉讼等方式维权的，违约方应承担守约方因此支付的合理维权费用（包括但不限于律师费、保全费、公证费等）</w:t>
      </w:r>
      <w:r>
        <w:rPr>
          <w:rFonts w:hint="eastAsia" w:ascii="宋体" w:hAnsi="宋体" w:eastAsia="宋体"/>
          <w:color w:val="auto"/>
          <w:szCs w:val="21"/>
          <w:lang w:eastAsia="zh"/>
        </w:rPr>
        <w:t>。</w:t>
      </w:r>
    </w:p>
    <w:p w14:paraId="2AA59CB8">
      <w:pPr>
        <w:pStyle w:val="20"/>
        <w:widowControl/>
        <w:numPr>
          <w:ilvl w:val="3"/>
          <w:numId w:val="7"/>
        </w:numPr>
        <w:tabs>
          <w:tab w:val="left" w:pos="426"/>
          <w:tab w:val="left" w:pos="5400"/>
        </w:tabs>
        <w:spacing w:after="156" w:afterLines="50" w:line="360" w:lineRule="auto"/>
        <w:ind w:left="2127" w:hanging="2055" w:firstLineChars="0"/>
        <w:rPr>
          <w:rFonts w:ascii="宋体" w:hAnsi="宋体" w:eastAsia="宋体"/>
          <w:b/>
          <w:color w:val="auto"/>
          <w:szCs w:val="21"/>
        </w:rPr>
      </w:pPr>
      <w:r>
        <w:rPr>
          <w:rFonts w:hint="eastAsia" w:ascii="宋体" w:hAnsi="宋体" w:eastAsia="宋体"/>
          <w:b/>
          <w:color w:val="auto"/>
          <w:szCs w:val="21"/>
        </w:rPr>
        <w:t>法律适用与争议解决</w:t>
      </w:r>
    </w:p>
    <w:p w14:paraId="2E7A16E3">
      <w:pPr>
        <w:pStyle w:val="20"/>
        <w:spacing w:after="156" w:afterLines="50" w:line="360" w:lineRule="auto"/>
        <w:ind w:left="426" w:firstLine="0" w:firstLineChars="0"/>
        <w:rPr>
          <w:rFonts w:ascii="宋体" w:hAnsi="宋体" w:eastAsia="宋体"/>
          <w:color w:val="auto"/>
          <w:szCs w:val="21"/>
        </w:rPr>
      </w:pPr>
      <w:r>
        <w:rPr>
          <w:rFonts w:hint="eastAsia" w:ascii="宋体" w:hAnsi="宋体" w:eastAsia="宋体"/>
          <w:color w:val="auto"/>
          <w:szCs w:val="21"/>
        </w:rPr>
        <w:t>本合同及与本合同相关的一切事项适用中华人民共和国法律。在履行本合同中出现的争议，双方应友好协商解决。若协商无法解决,双方同意将争议提交</w:t>
      </w:r>
      <w:r>
        <w:rPr>
          <w:rFonts w:hint="eastAsia" w:ascii="宋体" w:hAnsi="宋体" w:eastAsia="宋体"/>
          <w:color w:val="auto"/>
          <w:szCs w:val="21"/>
          <w:lang w:val="en-US" w:eastAsia="zh-CN"/>
        </w:rPr>
        <w:t>甲</w:t>
      </w:r>
      <w:r>
        <w:rPr>
          <w:rFonts w:hint="eastAsia" w:ascii="宋体" w:hAnsi="宋体" w:eastAsia="宋体"/>
          <w:color w:val="auto"/>
          <w:szCs w:val="21"/>
        </w:rPr>
        <w:t>方住所地有管辖权的人民法院以诉讼方式解决。</w:t>
      </w:r>
    </w:p>
    <w:p w14:paraId="1CCCC65A">
      <w:pPr>
        <w:pStyle w:val="20"/>
        <w:widowControl/>
        <w:numPr>
          <w:ilvl w:val="3"/>
          <w:numId w:val="7"/>
        </w:numPr>
        <w:tabs>
          <w:tab w:val="left" w:pos="426"/>
          <w:tab w:val="left" w:pos="5400"/>
        </w:tabs>
        <w:spacing w:after="156" w:afterLines="50" w:line="360" w:lineRule="auto"/>
        <w:ind w:left="2127" w:hanging="2055" w:firstLineChars="0"/>
        <w:rPr>
          <w:rFonts w:ascii="宋体" w:hAnsi="宋体" w:eastAsia="宋体"/>
          <w:b/>
          <w:color w:val="auto"/>
          <w:szCs w:val="21"/>
        </w:rPr>
      </w:pPr>
      <w:r>
        <w:rPr>
          <w:rFonts w:hint="eastAsia" w:ascii="宋体" w:hAnsi="宋体" w:eastAsia="宋体"/>
          <w:b/>
          <w:color w:val="auto"/>
          <w:szCs w:val="21"/>
        </w:rPr>
        <w:t>其他</w:t>
      </w:r>
    </w:p>
    <w:p w14:paraId="76E233E6">
      <w:pPr>
        <w:pStyle w:val="20"/>
        <w:spacing w:after="156" w:afterLines="50" w:line="360" w:lineRule="auto"/>
        <w:ind w:left="426" w:firstLine="0" w:firstLineChars="0"/>
        <w:rPr>
          <w:rFonts w:ascii="宋体" w:hAnsi="宋体" w:eastAsia="宋体"/>
          <w:color w:val="auto"/>
          <w:szCs w:val="21"/>
          <w:lang w:eastAsia="zh"/>
        </w:rPr>
      </w:pPr>
      <w:r>
        <w:rPr>
          <w:rFonts w:hint="eastAsia" w:ascii="宋体" w:hAnsi="宋体" w:eastAsia="宋体"/>
          <w:color w:val="auto"/>
          <w:szCs w:val="21"/>
        </w:rPr>
        <w:t>《</w:t>
      </w:r>
      <w:r>
        <w:rPr>
          <w:rFonts w:hint="eastAsia" w:ascii="宋体" w:hAnsi="宋体" w:eastAsia="宋体"/>
          <w:color w:val="auto"/>
          <w:szCs w:val="21"/>
          <w:lang w:eastAsia="zh"/>
        </w:rPr>
        <w:t>维保服务合同》及《一般条款》构成双方之间就本合同所涉及事项达成的全部协议，并取代双方之前和与此同时作出的所有其他声明或通信往来，包括口头的和书面的。本合同未经双方书面同意不得修改或修订。如果《维保服务合同》与《一般条款》约定不一致时，以《维保服务合同》为准。</w:t>
      </w:r>
    </w:p>
    <w:p w14:paraId="5EEDEA26">
      <w:pPr>
        <w:spacing w:after="156" w:afterLines="50" w:line="360" w:lineRule="auto"/>
        <w:ind w:left="375"/>
        <w:rPr>
          <w:rFonts w:ascii="宋体" w:hAnsi="宋体" w:eastAsia="宋体"/>
          <w:color w:val="auto"/>
          <w:szCs w:val="21"/>
        </w:rPr>
      </w:pPr>
    </w:p>
    <w:p w14:paraId="683CADB6">
      <w:pPr>
        <w:spacing w:after="156" w:afterLines="50" w:line="360" w:lineRule="auto"/>
        <w:rPr>
          <w:rFonts w:ascii="宋体" w:hAnsi="宋体" w:eastAsia="宋体"/>
          <w:color w:val="auto"/>
          <w:szCs w:val="21"/>
        </w:rPr>
      </w:pPr>
      <w:r>
        <w:rPr>
          <w:rFonts w:hint="eastAsia" w:ascii="宋体" w:hAnsi="宋体" w:eastAsia="宋体"/>
          <w:color w:val="auto"/>
          <w:szCs w:val="21"/>
        </w:rPr>
        <w:t>（以下无内容）</w:t>
      </w:r>
    </w:p>
    <w:p w14:paraId="7AE10D42">
      <w:pPr>
        <w:widowControl/>
        <w:tabs>
          <w:tab w:val="left" w:pos="5400"/>
        </w:tabs>
        <w:spacing w:after="156" w:afterLines="50" w:line="360" w:lineRule="auto"/>
        <w:jc w:val="center"/>
        <w:rPr>
          <w:rFonts w:ascii="宋体" w:hAnsi="宋体" w:eastAsia="宋体"/>
          <w:color w:val="auto"/>
          <w:sz w:val="16"/>
          <w:szCs w:val="16"/>
        </w:rPr>
      </w:pPr>
    </w:p>
    <w:sectPr>
      <w:headerReference r:id="rId5" w:type="first"/>
      <w:footerReference r:id="rId8" w:type="first"/>
      <w:headerReference r:id="rId3" w:type="default"/>
      <w:footerReference r:id="rId6" w:type="default"/>
      <w:headerReference r:id="rId4" w:type="even"/>
      <w:footerReference r:id="rId7" w:type="even"/>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3165856"/>
    </w:sdtPr>
    <w:sdtContent>
      <w:sdt>
        <w:sdtPr>
          <w:id w:val="98381352"/>
        </w:sdtPr>
        <w:sdtContent>
          <w:p w14:paraId="2078D508">
            <w:pPr>
              <w:pStyle w:val="4"/>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9</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9</w:t>
            </w:r>
            <w:r>
              <w:rPr>
                <w:b/>
                <w:bCs/>
                <w:sz w:val="24"/>
                <w:szCs w:val="24"/>
              </w:rPr>
              <w:fldChar w:fldCharType="end"/>
            </w:r>
          </w:p>
        </w:sdtContent>
      </w:sdt>
    </w:sdtContent>
  </w:sdt>
  <w:p w14:paraId="5691649A">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FFBC8A">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F5BE5B">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61E79">
    <w:pPr>
      <w:pStyle w:val="13"/>
    </w:pPr>
    <w:r>
      <w:rPr>
        <w:rFonts w:hint="eastAsia"/>
      </w:rPr>
      <w:t xml:space="preserve">      </w:t>
    </w:r>
    <w:r>
      <w:t xml:space="preserve">          </w:t>
    </w:r>
    <w:r>
      <w:rPr>
        <w:rFonts w:hint="eastAsia"/>
      </w:rPr>
      <w:t xml:space="preserve">                         </w:t>
    </w:r>
    <w:r>
      <w:t xml:space="preserve"> </w:t>
    </w: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4AE38">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90D78">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55392F"/>
    <w:multiLevelType w:val="multilevel"/>
    <w:tmpl w:val="0155392F"/>
    <w:lvl w:ilvl="0" w:tentative="0">
      <w:start w:val="1"/>
      <w:numFmt w:val="decimal"/>
      <w:lvlText w:val="（%1）"/>
      <w:lvlJc w:val="left"/>
      <w:pPr>
        <w:ind w:left="735" w:hanging="360"/>
      </w:pPr>
      <w:rPr>
        <w:rFonts w:hint="eastAsia"/>
      </w:rPr>
    </w:lvl>
    <w:lvl w:ilvl="1" w:tentative="0">
      <w:start w:val="1"/>
      <w:numFmt w:val="lowerLetter"/>
      <w:lvlText w:val="%2)"/>
      <w:lvlJc w:val="left"/>
      <w:pPr>
        <w:ind w:left="1215" w:hanging="420"/>
      </w:pPr>
    </w:lvl>
    <w:lvl w:ilvl="2" w:tentative="0">
      <w:start w:val="1"/>
      <w:numFmt w:val="lowerRoman"/>
      <w:lvlText w:val="%3."/>
      <w:lvlJc w:val="right"/>
      <w:pPr>
        <w:ind w:left="1635" w:hanging="420"/>
      </w:pPr>
    </w:lvl>
    <w:lvl w:ilvl="3" w:tentative="0">
      <w:start w:val="1"/>
      <w:numFmt w:val="decimal"/>
      <w:lvlText w:val="%4."/>
      <w:lvlJc w:val="left"/>
      <w:pPr>
        <w:ind w:left="2055" w:hanging="420"/>
      </w:pPr>
    </w:lvl>
    <w:lvl w:ilvl="4" w:tentative="0">
      <w:start w:val="1"/>
      <w:numFmt w:val="lowerLetter"/>
      <w:lvlText w:val="%5)"/>
      <w:lvlJc w:val="left"/>
      <w:pPr>
        <w:ind w:left="2475" w:hanging="420"/>
      </w:pPr>
    </w:lvl>
    <w:lvl w:ilvl="5" w:tentative="0">
      <w:start w:val="1"/>
      <w:numFmt w:val="lowerRoman"/>
      <w:lvlText w:val="%6."/>
      <w:lvlJc w:val="right"/>
      <w:pPr>
        <w:ind w:left="2895" w:hanging="420"/>
      </w:pPr>
    </w:lvl>
    <w:lvl w:ilvl="6" w:tentative="0">
      <w:start w:val="1"/>
      <w:numFmt w:val="decimal"/>
      <w:lvlText w:val="%7."/>
      <w:lvlJc w:val="left"/>
      <w:pPr>
        <w:ind w:left="3315" w:hanging="420"/>
      </w:pPr>
    </w:lvl>
    <w:lvl w:ilvl="7" w:tentative="0">
      <w:start w:val="1"/>
      <w:numFmt w:val="lowerLetter"/>
      <w:lvlText w:val="%8)"/>
      <w:lvlJc w:val="left"/>
      <w:pPr>
        <w:ind w:left="3735" w:hanging="420"/>
      </w:pPr>
    </w:lvl>
    <w:lvl w:ilvl="8" w:tentative="0">
      <w:start w:val="1"/>
      <w:numFmt w:val="lowerRoman"/>
      <w:lvlText w:val="%9."/>
      <w:lvlJc w:val="right"/>
      <w:pPr>
        <w:ind w:left="4155" w:hanging="420"/>
      </w:pPr>
    </w:lvl>
  </w:abstractNum>
  <w:abstractNum w:abstractNumId="1">
    <w:nsid w:val="0BDB12F5"/>
    <w:multiLevelType w:val="multilevel"/>
    <w:tmpl w:val="0BDB12F5"/>
    <w:lvl w:ilvl="0" w:tentative="0">
      <w:start w:val="1"/>
      <w:numFmt w:val="decimal"/>
      <w:lvlText w:val="（%1）"/>
      <w:lvlJc w:val="left"/>
      <w:pPr>
        <w:ind w:left="735" w:hanging="360"/>
      </w:pPr>
      <w:rPr>
        <w:rFonts w:hint="eastAsia"/>
      </w:rPr>
    </w:lvl>
    <w:lvl w:ilvl="1" w:tentative="0">
      <w:start w:val="1"/>
      <w:numFmt w:val="lowerLetter"/>
      <w:lvlText w:val="%2)"/>
      <w:lvlJc w:val="left"/>
      <w:pPr>
        <w:ind w:left="1215" w:hanging="420"/>
      </w:pPr>
    </w:lvl>
    <w:lvl w:ilvl="2" w:tentative="0">
      <w:start w:val="1"/>
      <w:numFmt w:val="lowerRoman"/>
      <w:lvlText w:val="%3."/>
      <w:lvlJc w:val="right"/>
      <w:pPr>
        <w:ind w:left="1635" w:hanging="420"/>
      </w:pPr>
    </w:lvl>
    <w:lvl w:ilvl="3" w:tentative="0">
      <w:start w:val="1"/>
      <w:numFmt w:val="decimal"/>
      <w:lvlText w:val="%4."/>
      <w:lvlJc w:val="left"/>
      <w:pPr>
        <w:ind w:left="2055" w:hanging="420"/>
      </w:pPr>
    </w:lvl>
    <w:lvl w:ilvl="4" w:tentative="0">
      <w:start w:val="1"/>
      <w:numFmt w:val="lowerLetter"/>
      <w:lvlText w:val="%5)"/>
      <w:lvlJc w:val="left"/>
      <w:pPr>
        <w:ind w:left="2475" w:hanging="420"/>
      </w:pPr>
    </w:lvl>
    <w:lvl w:ilvl="5" w:tentative="0">
      <w:start w:val="1"/>
      <w:numFmt w:val="lowerRoman"/>
      <w:lvlText w:val="%6."/>
      <w:lvlJc w:val="right"/>
      <w:pPr>
        <w:ind w:left="2895" w:hanging="420"/>
      </w:pPr>
    </w:lvl>
    <w:lvl w:ilvl="6" w:tentative="0">
      <w:start w:val="1"/>
      <w:numFmt w:val="decimal"/>
      <w:lvlText w:val="%7."/>
      <w:lvlJc w:val="left"/>
      <w:pPr>
        <w:ind w:left="3315" w:hanging="420"/>
      </w:pPr>
    </w:lvl>
    <w:lvl w:ilvl="7" w:tentative="0">
      <w:start w:val="1"/>
      <w:numFmt w:val="lowerLetter"/>
      <w:lvlText w:val="%8)"/>
      <w:lvlJc w:val="left"/>
      <w:pPr>
        <w:ind w:left="3735" w:hanging="420"/>
      </w:pPr>
    </w:lvl>
    <w:lvl w:ilvl="8" w:tentative="0">
      <w:start w:val="1"/>
      <w:numFmt w:val="lowerRoman"/>
      <w:lvlText w:val="%9."/>
      <w:lvlJc w:val="right"/>
      <w:pPr>
        <w:ind w:left="4155" w:hanging="420"/>
      </w:pPr>
    </w:lvl>
  </w:abstractNum>
  <w:abstractNum w:abstractNumId="2">
    <w:nsid w:val="1F9727F0"/>
    <w:multiLevelType w:val="multilevel"/>
    <w:tmpl w:val="1F9727F0"/>
    <w:lvl w:ilvl="0" w:tentative="0">
      <w:start w:val="1"/>
      <w:numFmt w:val="decimal"/>
      <w:lvlText w:val="4.%1"/>
      <w:lvlJc w:val="left"/>
      <w:pPr>
        <w:ind w:left="735" w:hanging="360"/>
      </w:pPr>
      <w:rPr>
        <w:rFonts w:hint="eastAsia"/>
      </w:rPr>
    </w:lvl>
    <w:lvl w:ilvl="1" w:tentative="0">
      <w:start w:val="1"/>
      <w:numFmt w:val="lowerLetter"/>
      <w:lvlText w:val="%2)"/>
      <w:lvlJc w:val="left"/>
      <w:pPr>
        <w:ind w:left="1215" w:hanging="420"/>
      </w:pPr>
    </w:lvl>
    <w:lvl w:ilvl="2" w:tentative="0">
      <w:start w:val="1"/>
      <w:numFmt w:val="lowerRoman"/>
      <w:lvlText w:val="%3."/>
      <w:lvlJc w:val="right"/>
      <w:pPr>
        <w:ind w:left="1635" w:hanging="420"/>
      </w:pPr>
    </w:lvl>
    <w:lvl w:ilvl="3" w:tentative="0">
      <w:start w:val="1"/>
      <w:numFmt w:val="decimal"/>
      <w:lvlText w:val="%4."/>
      <w:lvlJc w:val="left"/>
      <w:pPr>
        <w:ind w:left="2055" w:hanging="420"/>
      </w:pPr>
    </w:lvl>
    <w:lvl w:ilvl="4" w:tentative="0">
      <w:start w:val="1"/>
      <w:numFmt w:val="lowerLetter"/>
      <w:lvlText w:val="%5)"/>
      <w:lvlJc w:val="left"/>
      <w:pPr>
        <w:ind w:left="2475" w:hanging="420"/>
      </w:pPr>
    </w:lvl>
    <w:lvl w:ilvl="5" w:tentative="0">
      <w:start w:val="1"/>
      <w:numFmt w:val="lowerRoman"/>
      <w:lvlText w:val="%6."/>
      <w:lvlJc w:val="right"/>
      <w:pPr>
        <w:ind w:left="2895" w:hanging="420"/>
      </w:pPr>
    </w:lvl>
    <w:lvl w:ilvl="6" w:tentative="0">
      <w:start w:val="1"/>
      <w:numFmt w:val="decimal"/>
      <w:lvlText w:val="%7."/>
      <w:lvlJc w:val="left"/>
      <w:pPr>
        <w:ind w:left="3315" w:hanging="420"/>
      </w:pPr>
    </w:lvl>
    <w:lvl w:ilvl="7" w:tentative="0">
      <w:start w:val="1"/>
      <w:numFmt w:val="lowerLetter"/>
      <w:lvlText w:val="%8)"/>
      <w:lvlJc w:val="left"/>
      <w:pPr>
        <w:ind w:left="3735" w:hanging="420"/>
      </w:pPr>
    </w:lvl>
    <w:lvl w:ilvl="8" w:tentative="0">
      <w:start w:val="1"/>
      <w:numFmt w:val="lowerRoman"/>
      <w:lvlText w:val="%9."/>
      <w:lvlJc w:val="right"/>
      <w:pPr>
        <w:ind w:left="4155" w:hanging="420"/>
      </w:pPr>
    </w:lvl>
  </w:abstractNum>
  <w:abstractNum w:abstractNumId="3">
    <w:nsid w:val="1F9C6750"/>
    <w:multiLevelType w:val="multilevel"/>
    <w:tmpl w:val="1F9C6750"/>
    <w:lvl w:ilvl="0" w:tentative="0">
      <w:start w:val="1"/>
      <w:numFmt w:val="decimal"/>
      <w:lvlText w:val="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2B8242FC"/>
    <w:multiLevelType w:val="multilevel"/>
    <w:tmpl w:val="2B8242FC"/>
    <w:lvl w:ilvl="0" w:tentative="0">
      <w:start w:val="1"/>
      <w:numFmt w:val="decimal"/>
      <w:lvlText w:val="1.%1"/>
      <w:lvlJc w:val="left"/>
      <w:pPr>
        <w:ind w:left="735" w:hanging="360"/>
      </w:pPr>
      <w:rPr>
        <w:rFonts w:hint="eastAsia"/>
      </w:rPr>
    </w:lvl>
    <w:lvl w:ilvl="1" w:tentative="0">
      <w:start w:val="1"/>
      <w:numFmt w:val="lowerLetter"/>
      <w:lvlText w:val="%2)"/>
      <w:lvlJc w:val="left"/>
      <w:pPr>
        <w:ind w:left="1215" w:hanging="420"/>
      </w:pPr>
    </w:lvl>
    <w:lvl w:ilvl="2" w:tentative="0">
      <w:start w:val="1"/>
      <w:numFmt w:val="lowerRoman"/>
      <w:lvlText w:val="%3."/>
      <w:lvlJc w:val="right"/>
      <w:pPr>
        <w:ind w:left="1635" w:hanging="420"/>
      </w:pPr>
    </w:lvl>
    <w:lvl w:ilvl="3" w:tentative="0">
      <w:start w:val="1"/>
      <w:numFmt w:val="decimal"/>
      <w:lvlText w:val="%4."/>
      <w:lvlJc w:val="left"/>
      <w:pPr>
        <w:ind w:left="2055" w:hanging="420"/>
      </w:pPr>
    </w:lvl>
    <w:lvl w:ilvl="4" w:tentative="0">
      <w:start w:val="1"/>
      <w:numFmt w:val="lowerLetter"/>
      <w:lvlText w:val="%5)"/>
      <w:lvlJc w:val="left"/>
      <w:pPr>
        <w:ind w:left="2475" w:hanging="420"/>
      </w:pPr>
    </w:lvl>
    <w:lvl w:ilvl="5" w:tentative="0">
      <w:start w:val="1"/>
      <w:numFmt w:val="lowerRoman"/>
      <w:lvlText w:val="%6."/>
      <w:lvlJc w:val="right"/>
      <w:pPr>
        <w:ind w:left="2895" w:hanging="420"/>
      </w:pPr>
    </w:lvl>
    <w:lvl w:ilvl="6" w:tentative="0">
      <w:start w:val="1"/>
      <w:numFmt w:val="decimal"/>
      <w:lvlText w:val="%7."/>
      <w:lvlJc w:val="left"/>
      <w:pPr>
        <w:ind w:left="3315" w:hanging="420"/>
      </w:pPr>
    </w:lvl>
    <w:lvl w:ilvl="7" w:tentative="0">
      <w:start w:val="1"/>
      <w:numFmt w:val="lowerLetter"/>
      <w:lvlText w:val="%8)"/>
      <w:lvlJc w:val="left"/>
      <w:pPr>
        <w:ind w:left="3735" w:hanging="420"/>
      </w:pPr>
    </w:lvl>
    <w:lvl w:ilvl="8" w:tentative="0">
      <w:start w:val="1"/>
      <w:numFmt w:val="lowerRoman"/>
      <w:lvlText w:val="%9."/>
      <w:lvlJc w:val="right"/>
      <w:pPr>
        <w:ind w:left="4155" w:hanging="420"/>
      </w:pPr>
    </w:lvl>
  </w:abstractNum>
  <w:abstractNum w:abstractNumId="5">
    <w:nsid w:val="2D595E17"/>
    <w:multiLevelType w:val="multilevel"/>
    <w:tmpl w:val="2D595E17"/>
    <w:lvl w:ilvl="0" w:tentative="0">
      <w:start w:val="1"/>
      <w:numFmt w:val="decimal"/>
      <w:lvlText w:val="9.%1"/>
      <w:lvlJc w:val="left"/>
      <w:pPr>
        <w:ind w:left="735" w:hanging="360"/>
      </w:pPr>
      <w:rPr>
        <w:rFonts w:hint="eastAsia"/>
      </w:rPr>
    </w:lvl>
    <w:lvl w:ilvl="1" w:tentative="0">
      <w:start w:val="1"/>
      <w:numFmt w:val="lowerLetter"/>
      <w:lvlText w:val="%2)"/>
      <w:lvlJc w:val="left"/>
      <w:pPr>
        <w:ind w:left="1215" w:hanging="420"/>
      </w:pPr>
    </w:lvl>
    <w:lvl w:ilvl="2" w:tentative="0">
      <w:start w:val="1"/>
      <w:numFmt w:val="lowerRoman"/>
      <w:lvlText w:val="%3."/>
      <w:lvlJc w:val="right"/>
      <w:pPr>
        <w:ind w:left="1635" w:hanging="420"/>
      </w:pPr>
    </w:lvl>
    <w:lvl w:ilvl="3" w:tentative="0">
      <w:start w:val="1"/>
      <w:numFmt w:val="decimal"/>
      <w:lvlText w:val="%4."/>
      <w:lvlJc w:val="left"/>
      <w:pPr>
        <w:ind w:left="2055" w:hanging="420"/>
      </w:pPr>
    </w:lvl>
    <w:lvl w:ilvl="4" w:tentative="0">
      <w:start w:val="1"/>
      <w:numFmt w:val="lowerLetter"/>
      <w:lvlText w:val="%5)"/>
      <w:lvlJc w:val="left"/>
      <w:pPr>
        <w:ind w:left="2475" w:hanging="420"/>
      </w:pPr>
    </w:lvl>
    <w:lvl w:ilvl="5" w:tentative="0">
      <w:start w:val="1"/>
      <w:numFmt w:val="lowerRoman"/>
      <w:lvlText w:val="%6."/>
      <w:lvlJc w:val="right"/>
      <w:pPr>
        <w:ind w:left="2895" w:hanging="420"/>
      </w:pPr>
    </w:lvl>
    <w:lvl w:ilvl="6" w:tentative="0">
      <w:start w:val="1"/>
      <w:numFmt w:val="decimal"/>
      <w:lvlText w:val="%7."/>
      <w:lvlJc w:val="left"/>
      <w:pPr>
        <w:ind w:left="3315" w:hanging="420"/>
      </w:pPr>
    </w:lvl>
    <w:lvl w:ilvl="7" w:tentative="0">
      <w:start w:val="1"/>
      <w:numFmt w:val="lowerLetter"/>
      <w:lvlText w:val="%8)"/>
      <w:lvlJc w:val="left"/>
      <w:pPr>
        <w:ind w:left="3735" w:hanging="420"/>
      </w:pPr>
    </w:lvl>
    <w:lvl w:ilvl="8" w:tentative="0">
      <w:start w:val="1"/>
      <w:numFmt w:val="lowerRoman"/>
      <w:lvlText w:val="%9."/>
      <w:lvlJc w:val="right"/>
      <w:pPr>
        <w:ind w:left="4155" w:hanging="420"/>
      </w:pPr>
    </w:lvl>
  </w:abstractNum>
  <w:abstractNum w:abstractNumId="6">
    <w:nsid w:val="300E5797"/>
    <w:multiLevelType w:val="multilevel"/>
    <w:tmpl w:val="300E5797"/>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46795415"/>
    <w:multiLevelType w:val="multilevel"/>
    <w:tmpl w:val="46795415"/>
    <w:lvl w:ilvl="0" w:tentative="0">
      <w:start w:val="1"/>
      <w:numFmt w:val="decimal"/>
      <w:lvlText w:val="3.%1"/>
      <w:lvlJc w:val="left"/>
      <w:pPr>
        <w:ind w:left="735" w:hanging="360"/>
      </w:pPr>
      <w:rPr>
        <w:rFonts w:hint="eastAsia"/>
      </w:rPr>
    </w:lvl>
    <w:lvl w:ilvl="1" w:tentative="0">
      <w:start w:val="1"/>
      <w:numFmt w:val="lowerLetter"/>
      <w:lvlText w:val="%2)"/>
      <w:lvlJc w:val="left"/>
      <w:pPr>
        <w:ind w:left="1215" w:hanging="420"/>
      </w:pPr>
    </w:lvl>
    <w:lvl w:ilvl="2" w:tentative="0">
      <w:start w:val="1"/>
      <w:numFmt w:val="lowerRoman"/>
      <w:lvlText w:val="%3."/>
      <w:lvlJc w:val="right"/>
      <w:pPr>
        <w:ind w:left="1635" w:hanging="420"/>
      </w:pPr>
    </w:lvl>
    <w:lvl w:ilvl="3" w:tentative="0">
      <w:start w:val="1"/>
      <w:numFmt w:val="decimal"/>
      <w:lvlText w:val="%4."/>
      <w:lvlJc w:val="left"/>
      <w:pPr>
        <w:ind w:left="2055" w:hanging="420"/>
      </w:pPr>
    </w:lvl>
    <w:lvl w:ilvl="4" w:tentative="0">
      <w:start w:val="1"/>
      <w:numFmt w:val="lowerLetter"/>
      <w:lvlText w:val="%5)"/>
      <w:lvlJc w:val="left"/>
      <w:pPr>
        <w:ind w:left="2475" w:hanging="420"/>
      </w:pPr>
    </w:lvl>
    <w:lvl w:ilvl="5" w:tentative="0">
      <w:start w:val="1"/>
      <w:numFmt w:val="lowerRoman"/>
      <w:lvlText w:val="%6."/>
      <w:lvlJc w:val="right"/>
      <w:pPr>
        <w:ind w:left="2895" w:hanging="420"/>
      </w:pPr>
    </w:lvl>
    <w:lvl w:ilvl="6" w:tentative="0">
      <w:start w:val="1"/>
      <w:numFmt w:val="decimal"/>
      <w:lvlText w:val="%7."/>
      <w:lvlJc w:val="left"/>
      <w:pPr>
        <w:ind w:left="3315" w:hanging="420"/>
      </w:pPr>
    </w:lvl>
    <w:lvl w:ilvl="7" w:tentative="0">
      <w:start w:val="1"/>
      <w:numFmt w:val="lowerLetter"/>
      <w:lvlText w:val="%8)"/>
      <w:lvlJc w:val="left"/>
      <w:pPr>
        <w:ind w:left="3735" w:hanging="420"/>
      </w:pPr>
    </w:lvl>
    <w:lvl w:ilvl="8" w:tentative="0">
      <w:start w:val="1"/>
      <w:numFmt w:val="lowerRoman"/>
      <w:lvlText w:val="%9."/>
      <w:lvlJc w:val="right"/>
      <w:pPr>
        <w:ind w:left="4155" w:hanging="420"/>
      </w:pPr>
    </w:lvl>
  </w:abstractNum>
  <w:abstractNum w:abstractNumId="8">
    <w:nsid w:val="54EB7405"/>
    <w:multiLevelType w:val="multilevel"/>
    <w:tmpl w:val="54EB7405"/>
    <w:lvl w:ilvl="0" w:tentative="0">
      <w:start w:val="1"/>
      <w:numFmt w:val="decimal"/>
      <w:lvlText w:val="10.%1"/>
      <w:lvlJc w:val="left"/>
      <w:pPr>
        <w:ind w:left="492"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57C57892"/>
    <w:multiLevelType w:val="multilevel"/>
    <w:tmpl w:val="57C57892"/>
    <w:lvl w:ilvl="0" w:tentative="0">
      <w:start w:val="1"/>
      <w:numFmt w:val="decimal"/>
      <w:lvlText w:val="4.%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1652448"/>
    <w:multiLevelType w:val="multilevel"/>
    <w:tmpl w:val="6165244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26B71FF"/>
    <w:multiLevelType w:val="multilevel"/>
    <w:tmpl w:val="626B71FF"/>
    <w:lvl w:ilvl="0" w:tentative="0">
      <w:start w:val="1"/>
      <w:numFmt w:val="decimal"/>
      <w:lvlText w:val="11.%1"/>
      <w:lvlJc w:val="left"/>
      <w:pPr>
        <w:ind w:left="735" w:hanging="360"/>
      </w:pPr>
      <w:rPr>
        <w:rFonts w:hint="eastAsia"/>
      </w:rPr>
    </w:lvl>
    <w:lvl w:ilvl="1" w:tentative="0">
      <w:start w:val="1"/>
      <w:numFmt w:val="lowerLetter"/>
      <w:lvlText w:val="%2)"/>
      <w:lvlJc w:val="left"/>
      <w:pPr>
        <w:ind w:left="1215" w:hanging="420"/>
      </w:pPr>
    </w:lvl>
    <w:lvl w:ilvl="2" w:tentative="0">
      <w:start w:val="1"/>
      <w:numFmt w:val="lowerRoman"/>
      <w:lvlText w:val="%3."/>
      <w:lvlJc w:val="right"/>
      <w:pPr>
        <w:ind w:left="1635" w:hanging="420"/>
      </w:pPr>
    </w:lvl>
    <w:lvl w:ilvl="3" w:tentative="0">
      <w:start w:val="1"/>
      <w:numFmt w:val="decimal"/>
      <w:lvlText w:val="%4."/>
      <w:lvlJc w:val="left"/>
      <w:pPr>
        <w:ind w:left="2055" w:hanging="420"/>
      </w:pPr>
    </w:lvl>
    <w:lvl w:ilvl="4" w:tentative="0">
      <w:start w:val="1"/>
      <w:numFmt w:val="lowerLetter"/>
      <w:lvlText w:val="%5)"/>
      <w:lvlJc w:val="left"/>
      <w:pPr>
        <w:ind w:left="2475" w:hanging="420"/>
      </w:pPr>
    </w:lvl>
    <w:lvl w:ilvl="5" w:tentative="0">
      <w:start w:val="1"/>
      <w:numFmt w:val="lowerRoman"/>
      <w:lvlText w:val="%6."/>
      <w:lvlJc w:val="right"/>
      <w:pPr>
        <w:ind w:left="2895" w:hanging="420"/>
      </w:pPr>
    </w:lvl>
    <w:lvl w:ilvl="6" w:tentative="0">
      <w:start w:val="1"/>
      <w:numFmt w:val="decimal"/>
      <w:lvlText w:val="%7."/>
      <w:lvlJc w:val="left"/>
      <w:pPr>
        <w:ind w:left="3315" w:hanging="420"/>
      </w:pPr>
    </w:lvl>
    <w:lvl w:ilvl="7" w:tentative="0">
      <w:start w:val="1"/>
      <w:numFmt w:val="lowerLetter"/>
      <w:lvlText w:val="%8)"/>
      <w:lvlJc w:val="left"/>
      <w:pPr>
        <w:ind w:left="3735" w:hanging="420"/>
      </w:pPr>
    </w:lvl>
    <w:lvl w:ilvl="8" w:tentative="0">
      <w:start w:val="1"/>
      <w:numFmt w:val="lowerRoman"/>
      <w:lvlText w:val="%9."/>
      <w:lvlJc w:val="right"/>
      <w:pPr>
        <w:ind w:left="4155" w:hanging="420"/>
      </w:pPr>
    </w:lvl>
  </w:abstractNum>
  <w:abstractNum w:abstractNumId="12">
    <w:nsid w:val="67F913BA"/>
    <w:multiLevelType w:val="multilevel"/>
    <w:tmpl w:val="67F913BA"/>
    <w:lvl w:ilvl="0" w:tentative="0">
      <w:start w:val="1"/>
      <w:numFmt w:val="decimal"/>
      <w:lvlText w:val="（%1）"/>
      <w:lvlJc w:val="left"/>
      <w:pPr>
        <w:ind w:left="846" w:hanging="420"/>
      </w:pPr>
      <w:rPr>
        <w:rFonts w:hint="eastAsia"/>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13">
    <w:nsid w:val="68C7796C"/>
    <w:multiLevelType w:val="multilevel"/>
    <w:tmpl w:val="68C7796C"/>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72DA5A2F"/>
    <w:multiLevelType w:val="multilevel"/>
    <w:tmpl w:val="72DA5A2F"/>
    <w:lvl w:ilvl="0" w:tentative="0">
      <w:start w:val="1"/>
      <w:numFmt w:val="decimal"/>
      <w:lvlText w:val="8.%1"/>
      <w:lvlJc w:val="left"/>
      <w:pPr>
        <w:ind w:left="735" w:hanging="360"/>
      </w:pPr>
      <w:rPr>
        <w:rFonts w:hint="eastAsia" w:ascii="宋体" w:hAnsi="宋体" w:eastAsia="宋体" w:cs="宋体"/>
      </w:rPr>
    </w:lvl>
    <w:lvl w:ilvl="1" w:tentative="0">
      <w:start w:val="1"/>
      <w:numFmt w:val="lowerLetter"/>
      <w:lvlText w:val="%2)"/>
      <w:lvlJc w:val="left"/>
      <w:pPr>
        <w:ind w:left="1215" w:hanging="420"/>
      </w:pPr>
      <w:rPr>
        <w:rFonts w:hint="default" w:ascii="Times New Roman" w:hAnsi="Times New Roman" w:cs="Times New Roman"/>
      </w:rPr>
    </w:lvl>
    <w:lvl w:ilvl="2" w:tentative="0">
      <w:start w:val="1"/>
      <w:numFmt w:val="lowerRoman"/>
      <w:lvlText w:val="%3."/>
      <w:lvlJc w:val="right"/>
      <w:pPr>
        <w:ind w:left="1635" w:hanging="420"/>
      </w:pPr>
      <w:rPr>
        <w:rFonts w:hint="default" w:ascii="Times New Roman" w:hAnsi="Times New Roman" w:cs="Times New Roman"/>
      </w:rPr>
    </w:lvl>
    <w:lvl w:ilvl="3" w:tentative="0">
      <w:start w:val="1"/>
      <w:numFmt w:val="decimal"/>
      <w:lvlText w:val="%4."/>
      <w:lvlJc w:val="left"/>
      <w:pPr>
        <w:ind w:left="2055" w:hanging="420"/>
      </w:pPr>
      <w:rPr>
        <w:rFonts w:hint="default" w:ascii="Times New Roman" w:hAnsi="Times New Roman" w:cs="Times New Roman"/>
      </w:rPr>
    </w:lvl>
    <w:lvl w:ilvl="4" w:tentative="0">
      <w:start w:val="1"/>
      <w:numFmt w:val="lowerLetter"/>
      <w:lvlText w:val="%5)"/>
      <w:lvlJc w:val="left"/>
      <w:pPr>
        <w:ind w:left="2475" w:hanging="420"/>
      </w:pPr>
      <w:rPr>
        <w:rFonts w:hint="default" w:ascii="Times New Roman" w:hAnsi="Times New Roman" w:cs="Times New Roman"/>
      </w:rPr>
    </w:lvl>
    <w:lvl w:ilvl="5" w:tentative="0">
      <w:start w:val="1"/>
      <w:numFmt w:val="lowerRoman"/>
      <w:lvlText w:val="%6."/>
      <w:lvlJc w:val="right"/>
      <w:pPr>
        <w:ind w:left="2895" w:hanging="420"/>
      </w:pPr>
      <w:rPr>
        <w:rFonts w:hint="default" w:ascii="Times New Roman" w:hAnsi="Times New Roman" w:cs="Times New Roman"/>
      </w:rPr>
    </w:lvl>
    <w:lvl w:ilvl="6" w:tentative="0">
      <w:start w:val="1"/>
      <w:numFmt w:val="decimal"/>
      <w:lvlText w:val="%7."/>
      <w:lvlJc w:val="left"/>
      <w:pPr>
        <w:ind w:left="3315" w:hanging="420"/>
      </w:pPr>
      <w:rPr>
        <w:rFonts w:hint="default" w:ascii="Times New Roman" w:hAnsi="Times New Roman" w:cs="Times New Roman"/>
      </w:rPr>
    </w:lvl>
    <w:lvl w:ilvl="7" w:tentative="0">
      <w:start w:val="1"/>
      <w:numFmt w:val="lowerLetter"/>
      <w:lvlText w:val="%8)"/>
      <w:lvlJc w:val="left"/>
      <w:pPr>
        <w:ind w:left="3735" w:hanging="420"/>
      </w:pPr>
      <w:rPr>
        <w:rFonts w:hint="default" w:ascii="Times New Roman" w:hAnsi="Times New Roman" w:cs="Times New Roman"/>
      </w:rPr>
    </w:lvl>
    <w:lvl w:ilvl="8" w:tentative="0">
      <w:start w:val="1"/>
      <w:numFmt w:val="lowerRoman"/>
      <w:lvlText w:val="%9."/>
      <w:lvlJc w:val="right"/>
      <w:pPr>
        <w:ind w:left="4155" w:hanging="420"/>
      </w:pPr>
      <w:rPr>
        <w:rFonts w:hint="default" w:ascii="Times New Roman" w:hAnsi="Times New Roman" w:cs="Times New Roman"/>
      </w:rPr>
    </w:lvl>
  </w:abstractNum>
  <w:abstractNum w:abstractNumId="15">
    <w:nsid w:val="7D502AAC"/>
    <w:multiLevelType w:val="multilevel"/>
    <w:tmpl w:val="7D502AAC"/>
    <w:lvl w:ilvl="0" w:tentative="0">
      <w:start w:val="1"/>
      <w:numFmt w:val="decimal"/>
      <w:lvlText w:val="5.%1"/>
      <w:lvlJc w:val="left"/>
      <w:pPr>
        <w:ind w:left="735" w:hanging="360"/>
      </w:pPr>
      <w:rPr>
        <w:rFonts w:hint="eastAsia"/>
      </w:rPr>
    </w:lvl>
    <w:lvl w:ilvl="1" w:tentative="0">
      <w:start w:val="1"/>
      <w:numFmt w:val="lowerLetter"/>
      <w:lvlText w:val="%2)"/>
      <w:lvlJc w:val="left"/>
      <w:pPr>
        <w:ind w:left="1215" w:hanging="420"/>
      </w:pPr>
    </w:lvl>
    <w:lvl w:ilvl="2" w:tentative="0">
      <w:start w:val="1"/>
      <w:numFmt w:val="lowerRoman"/>
      <w:lvlText w:val="%3."/>
      <w:lvlJc w:val="right"/>
      <w:pPr>
        <w:ind w:left="1635" w:hanging="420"/>
      </w:pPr>
    </w:lvl>
    <w:lvl w:ilvl="3" w:tentative="0">
      <w:start w:val="1"/>
      <w:numFmt w:val="decimal"/>
      <w:lvlText w:val="%4."/>
      <w:lvlJc w:val="left"/>
      <w:pPr>
        <w:ind w:left="2055" w:hanging="420"/>
      </w:pPr>
    </w:lvl>
    <w:lvl w:ilvl="4" w:tentative="0">
      <w:start w:val="1"/>
      <w:numFmt w:val="lowerLetter"/>
      <w:lvlText w:val="%5)"/>
      <w:lvlJc w:val="left"/>
      <w:pPr>
        <w:ind w:left="2475" w:hanging="420"/>
      </w:pPr>
    </w:lvl>
    <w:lvl w:ilvl="5" w:tentative="0">
      <w:start w:val="1"/>
      <w:numFmt w:val="lowerRoman"/>
      <w:lvlText w:val="%6."/>
      <w:lvlJc w:val="right"/>
      <w:pPr>
        <w:ind w:left="2895" w:hanging="420"/>
      </w:pPr>
    </w:lvl>
    <w:lvl w:ilvl="6" w:tentative="0">
      <w:start w:val="1"/>
      <w:numFmt w:val="decimal"/>
      <w:lvlText w:val="%7."/>
      <w:lvlJc w:val="left"/>
      <w:pPr>
        <w:ind w:left="3315" w:hanging="420"/>
      </w:pPr>
    </w:lvl>
    <w:lvl w:ilvl="7" w:tentative="0">
      <w:start w:val="1"/>
      <w:numFmt w:val="lowerLetter"/>
      <w:lvlText w:val="%8)"/>
      <w:lvlJc w:val="left"/>
      <w:pPr>
        <w:ind w:left="3735" w:hanging="420"/>
      </w:pPr>
    </w:lvl>
    <w:lvl w:ilvl="8" w:tentative="0">
      <w:start w:val="1"/>
      <w:numFmt w:val="lowerRoman"/>
      <w:lvlText w:val="%9."/>
      <w:lvlJc w:val="right"/>
      <w:pPr>
        <w:ind w:left="4155" w:hanging="420"/>
      </w:pPr>
    </w:lvl>
  </w:abstractNum>
  <w:abstractNum w:abstractNumId="16">
    <w:nsid w:val="7F222257"/>
    <w:multiLevelType w:val="multilevel"/>
    <w:tmpl w:val="7F222257"/>
    <w:lvl w:ilvl="0" w:tentative="0">
      <w:start w:val="1"/>
      <w:numFmt w:val="decimal"/>
      <w:lvlText w:val="2.%1"/>
      <w:lvlJc w:val="left"/>
      <w:pPr>
        <w:ind w:left="735" w:hanging="360"/>
      </w:pPr>
      <w:rPr>
        <w:rFonts w:hint="eastAsia"/>
      </w:rPr>
    </w:lvl>
    <w:lvl w:ilvl="1" w:tentative="0">
      <w:start w:val="1"/>
      <w:numFmt w:val="lowerLetter"/>
      <w:lvlText w:val="%2)"/>
      <w:lvlJc w:val="left"/>
      <w:pPr>
        <w:ind w:left="1215" w:hanging="420"/>
      </w:pPr>
    </w:lvl>
    <w:lvl w:ilvl="2" w:tentative="0">
      <w:start w:val="1"/>
      <w:numFmt w:val="lowerRoman"/>
      <w:lvlText w:val="%3."/>
      <w:lvlJc w:val="right"/>
      <w:pPr>
        <w:ind w:left="1635" w:hanging="420"/>
      </w:pPr>
    </w:lvl>
    <w:lvl w:ilvl="3" w:tentative="0">
      <w:start w:val="1"/>
      <w:numFmt w:val="decimal"/>
      <w:lvlText w:val="%4."/>
      <w:lvlJc w:val="left"/>
      <w:pPr>
        <w:ind w:left="2055" w:hanging="420"/>
      </w:pPr>
    </w:lvl>
    <w:lvl w:ilvl="4" w:tentative="0">
      <w:start w:val="1"/>
      <w:numFmt w:val="lowerLetter"/>
      <w:lvlText w:val="%5)"/>
      <w:lvlJc w:val="left"/>
      <w:pPr>
        <w:ind w:left="2475" w:hanging="420"/>
      </w:pPr>
    </w:lvl>
    <w:lvl w:ilvl="5" w:tentative="0">
      <w:start w:val="1"/>
      <w:numFmt w:val="lowerRoman"/>
      <w:lvlText w:val="%6."/>
      <w:lvlJc w:val="right"/>
      <w:pPr>
        <w:ind w:left="2895" w:hanging="420"/>
      </w:pPr>
    </w:lvl>
    <w:lvl w:ilvl="6" w:tentative="0">
      <w:start w:val="1"/>
      <w:numFmt w:val="decimal"/>
      <w:lvlText w:val="%7."/>
      <w:lvlJc w:val="left"/>
      <w:pPr>
        <w:ind w:left="3315" w:hanging="420"/>
      </w:pPr>
    </w:lvl>
    <w:lvl w:ilvl="7" w:tentative="0">
      <w:start w:val="1"/>
      <w:numFmt w:val="lowerLetter"/>
      <w:lvlText w:val="%8)"/>
      <w:lvlJc w:val="left"/>
      <w:pPr>
        <w:ind w:left="3735" w:hanging="420"/>
      </w:pPr>
    </w:lvl>
    <w:lvl w:ilvl="8" w:tentative="0">
      <w:start w:val="1"/>
      <w:numFmt w:val="lowerRoman"/>
      <w:lvlText w:val="%9."/>
      <w:lvlJc w:val="right"/>
      <w:pPr>
        <w:ind w:left="4155" w:hanging="420"/>
      </w:pPr>
    </w:lvl>
  </w:abstractNum>
  <w:abstractNum w:abstractNumId="17">
    <w:nsid w:val="7F5411BD"/>
    <w:multiLevelType w:val="multilevel"/>
    <w:tmpl w:val="7F5411BD"/>
    <w:lvl w:ilvl="0" w:tentative="0">
      <w:start w:val="1"/>
      <w:numFmt w:val="decimal"/>
      <w:lvlText w:val="1.%1"/>
      <w:lvlJc w:val="left"/>
      <w:pPr>
        <w:ind w:left="492" w:hanging="420"/>
      </w:pPr>
      <w:rPr>
        <w:rFonts w:hint="eastAsia"/>
      </w:rPr>
    </w:lvl>
    <w:lvl w:ilvl="1" w:tentative="0">
      <w:start w:val="1"/>
      <w:numFmt w:val="decimal"/>
      <w:lvlText w:val="1.%2"/>
      <w:lvlJc w:val="left"/>
      <w:pPr>
        <w:ind w:left="840" w:hanging="420"/>
      </w:pPr>
      <w:rPr>
        <w:rFonts w:hint="eastAsia"/>
        <w:b w:val="0"/>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0"/>
  </w:num>
  <w:num w:numId="2">
    <w:abstractNumId w:val="3"/>
  </w:num>
  <w:num w:numId="3">
    <w:abstractNumId w:val="13"/>
  </w:num>
  <w:num w:numId="4">
    <w:abstractNumId w:val="6"/>
  </w:num>
  <w:num w:numId="5">
    <w:abstractNumId w:val="9"/>
  </w:num>
  <w:num w:numId="6">
    <w:abstractNumId w:val="17"/>
  </w:num>
  <w:num w:numId="7">
    <w:abstractNumId w:val="4"/>
  </w:num>
  <w:num w:numId="8">
    <w:abstractNumId w:val="16"/>
  </w:num>
  <w:num w:numId="9">
    <w:abstractNumId w:val="1"/>
  </w:num>
  <w:num w:numId="10">
    <w:abstractNumId w:val="12"/>
  </w:num>
  <w:num w:numId="11">
    <w:abstractNumId w:val="7"/>
  </w:num>
  <w:num w:numId="12">
    <w:abstractNumId w:val="0"/>
  </w:num>
  <w:num w:numId="13">
    <w:abstractNumId w:val="2"/>
  </w:num>
  <w:num w:numId="14">
    <w:abstractNumId w:val="15"/>
  </w:num>
  <w:num w:numId="15">
    <w:abstractNumId w:val="14"/>
  </w:num>
  <w:num w:numId="16">
    <w:abstractNumId w:val="5"/>
  </w:num>
  <w:num w:numId="17">
    <w:abstractNumId w:val="8"/>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2444"/>
    <w:rsid w:val="00003411"/>
    <w:rsid w:val="000038C8"/>
    <w:rsid w:val="000047F4"/>
    <w:rsid w:val="00004B03"/>
    <w:rsid w:val="00004E6B"/>
    <w:rsid w:val="00010A41"/>
    <w:rsid w:val="00011D61"/>
    <w:rsid w:val="000206F0"/>
    <w:rsid w:val="00020701"/>
    <w:rsid w:val="00020BD0"/>
    <w:rsid w:val="00022D12"/>
    <w:rsid w:val="00033680"/>
    <w:rsid w:val="00037BB2"/>
    <w:rsid w:val="00041ECB"/>
    <w:rsid w:val="00044A3A"/>
    <w:rsid w:val="00044A5F"/>
    <w:rsid w:val="000536FE"/>
    <w:rsid w:val="00055593"/>
    <w:rsid w:val="00061E73"/>
    <w:rsid w:val="000653A1"/>
    <w:rsid w:val="00065ED1"/>
    <w:rsid w:val="00070719"/>
    <w:rsid w:val="000735A9"/>
    <w:rsid w:val="00075004"/>
    <w:rsid w:val="0008606B"/>
    <w:rsid w:val="00090DD3"/>
    <w:rsid w:val="000929E0"/>
    <w:rsid w:val="00095B86"/>
    <w:rsid w:val="000A2AC9"/>
    <w:rsid w:val="000A6B31"/>
    <w:rsid w:val="000B096D"/>
    <w:rsid w:val="000B23B1"/>
    <w:rsid w:val="000B3E36"/>
    <w:rsid w:val="000C1835"/>
    <w:rsid w:val="000C21E5"/>
    <w:rsid w:val="000C29EF"/>
    <w:rsid w:val="000C4A32"/>
    <w:rsid w:val="000C56E9"/>
    <w:rsid w:val="000C5C33"/>
    <w:rsid w:val="000C6398"/>
    <w:rsid w:val="000D10C4"/>
    <w:rsid w:val="000D1274"/>
    <w:rsid w:val="000D29CB"/>
    <w:rsid w:val="000D2B43"/>
    <w:rsid w:val="000D5491"/>
    <w:rsid w:val="000E1760"/>
    <w:rsid w:val="000E67F2"/>
    <w:rsid w:val="000E7151"/>
    <w:rsid w:val="000F695F"/>
    <w:rsid w:val="001019CF"/>
    <w:rsid w:val="00102B2D"/>
    <w:rsid w:val="00107142"/>
    <w:rsid w:val="00107E4F"/>
    <w:rsid w:val="00111264"/>
    <w:rsid w:val="00113BD9"/>
    <w:rsid w:val="00114287"/>
    <w:rsid w:val="0011465A"/>
    <w:rsid w:val="001169F2"/>
    <w:rsid w:val="00117EC2"/>
    <w:rsid w:val="00122010"/>
    <w:rsid w:val="00122BAD"/>
    <w:rsid w:val="001232A3"/>
    <w:rsid w:val="00123BFD"/>
    <w:rsid w:val="0012501F"/>
    <w:rsid w:val="0013029A"/>
    <w:rsid w:val="00130716"/>
    <w:rsid w:val="001325F5"/>
    <w:rsid w:val="00132D0C"/>
    <w:rsid w:val="001330CB"/>
    <w:rsid w:val="00136BF0"/>
    <w:rsid w:val="001370C0"/>
    <w:rsid w:val="00141AA6"/>
    <w:rsid w:val="00141F87"/>
    <w:rsid w:val="00147F82"/>
    <w:rsid w:val="00151609"/>
    <w:rsid w:val="001546FB"/>
    <w:rsid w:val="00155DCD"/>
    <w:rsid w:val="001568D8"/>
    <w:rsid w:val="001617FE"/>
    <w:rsid w:val="00166102"/>
    <w:rsid w:val="0016627D"/>
    <w:rsid w:val="00167777"/>
    <w:rsid w:val="00171791"/>
    <w:rsid w:val="0017255C"/>
    <w:rsid w:val="00173ADB"/>
    <w:rsid w:val="00174757"/>
    <w:rsid w:val="00190E4B"/>
    <w:rsid w:val="00191B3D"/>
    <w:rsid w:val="0019411E"/>
    <w:rsid w:val="001A1530"/>
    <w:rsid w:val="001A1614"/>
    <w:rsid w:val="001A1B4E"/>
    <w:rsid w:val="001A2526"/>
    <w:rsid w:val="001A5BDD"/>
    <w:rsid w:val="001A658E"/>
    <w:rsid w:val="001B2A4F"/>
    <w:rsid w:val="001C1AC3"/>
    <w:rsid w:val="001C3297"/>
    <w:rsid w:val="001C4F04"/>
    <w:rsid w:val="001C707A"/>
    <w:rsid w:val="001D00BF"/>
    <w:rsid w:val="001D08BD"/>
    <w:rsid w:val="001D2A88"/>
    <w:rsid w:val="001D2ADE"/>
    <w:rsid w:val="001E3CE0"/>
    <w:rsid w:val="001E3F24"/>
    <w:rsid w:val="001E645A"/>
    <w:rsid w:val="001E792C"/>
    <w:rsid w:val="001E7970"/>
    <w:rsid w:val="001E7C49"/>
    <w:rsid w:val="001F009D"/>
    <w:rsid w:val="001F058E"/>
    <w:rsid w:val="001F10EF"/>
    <w:rsid w:val="001F5078"/>
    <w:rsid w:val="001F7AC7"/>
    <w:rsid w:val="001F7F24"/>
    <w:rsid w:val="00205A3D"/>
    <w:rsid w:val="00206B4D"/>
    <w:rsid w:val="00211D73"/>
    <w:rsid w:val="00213C78"/>
    <w:rsid w:val="00213D90"/>
    <w:rsid w:val="00215C99"/>
    <w:rsid w:val="0022721C"/>
    <w:rsid w:val="002332C5"/>
    <w:rsid w:val="00240B5F"/>
    <w:rsid w:val="00247858"/>
    <w:rsid w:val="002524CF"/>
    <w:rsid w:val="002572F0"/>
    <w:rsid w:val="00270828"/>
    <w:rsid w:val="00271DE7"/>
    <w:rsid w:val="00273241"/>
    <w:rsid w:val="002751D3"/>
    <w:rsid w:val="00280FE1"/>
    <w:rsid w:val="002812DF"/>
    <w:rsid w:val="002849A3"/>
    <w:rsid w:val="002936D6"/>
    <w:rsid w:val="002939D6"/>
    <w:rsid w:val="00296DCB"/>
    <w:rsid w:val="00297465"/>
    <w:rsid w:val="002A702D"/>
    <w:rsid w:val="002B18B4"/>
    <w:rsid w:val="002B240E"/>
    <w:rsid w:val="002B2A91"/>
    <w:rsid w:val="002B6EA7"/>
    <w:rsid w:val="002C06BB"/>
    <w:rsid w:val="002C1CE3"/>
    <w:rsid w:val="002C293E"/>
    <w:rsid w:val="002C35BA"/>
    <w:rsid w:val="002C3854"/>
    <w:rsid w:val="002C4464"/>
    <w:rsid w:val="002C64C1"/>
    <w:rsid w:val="002C6AF7"/>
    <w:rsid w:val="002D3255"/>
    <w:rsid w:val="002D43AC"/>
    <w:rsid w:val="002D4C9D"/>
    <w:rsid w:val="002D65C9"/>
    <w:rsid w:val="002D6665"/>
    <w:rsid w:val="002E0F2F"/>
    <w:rsid w:val="002E35E8"/>
    <w:rsid w:val="002E3ABB"/>
    <w:rsid w:val="002F2966"/>
    <w:rsid w:val="002F4643"/>
    <w:rsid w:val="002F7726"/>
    <w:rsid w:val="002F7A71"/>
    <w:rsid w:val="0030176D"/>
    <w:rsid w:val="003052F6"/>
    <w:rsid w:val="003070F7"/>
    <w:rsid w:val="00307B9D"/>
    <w:rsid w:val="00310E6C"/>
    <w:rsid w:val="00311E47"/>
    <w:rsid w:val="00312AFA"/>
    <w:rsid w:val="00312B90"/>
    <w:rsid w:val="00317AE1"/>
    <w:rsid w:val="003202F4"/>
    <w:rsid w:val="00325CBF"/>
    <w:rsid w:val="003363CE"/>
    <w:rsid w:val="00340922"/>
    <w:rsid w:val="0034196D"/>
    <w:rsid w:val="00343097"/>
    <w:rsid w:val="00350561"/>
    <w:rsid w:val="003505A0"/>
    <w:rsid w:val="0035258D"/>
    <w:rsid w:val="003615ED"/>
    <w:rsid w:val="003618A4"/>
    <w:rsid w:val="00361C6C"/>
    <w:rsid w:val="00361E96"/>
    <w:rsid w:val="003637CF"/>
    <w:rsid w:val="003669CE"/>
    <w:rsid w:val="00367DFB"/>
    <w:rsid w:val="003726AA"/>
    <w:rsid w:val="003730DB"/>
    <w:rsid w:val="00375D23"/>
    <w:rsid w:val="003761DA"/>
    <w:rsid w:val="00377F0E"/>
    <w:rsid w:val="00381E26"/>
    <w:rsid w:val="00382A85"/>
    <w:rsid w:val="00382FD1"/>
    <w:rsid w:val="003850A3"/>
    <w:rsid w:val="00385740"/>
    <w:rsid w:val="00390178"/>
    <w:rsid w:val="003929AA"/>
    <w:rsid w:val="00393F9F"/>
    <w:rsid w:val="00394837"/>
    <w:rsid w:val="00394B2B"/>
    <w:rsid w:val="003A7197"/>
    <w:rsid w:val="003A7FE4"/>
    <w:rsid w:val="003B449E"/>
    <w:rsid w:val="003C2364"/>
    <w:rsid w:val="003C299B"/>
    <w:rsid w:val="003C6839"/>
    <w:rsid w:val="003C6F20"/>
    <w:rsid w:val="003E09C6"/>
    <w:rsid w:val="003E352F"/>
    <w:rsid w:val="003E71DC"/>
    <w:rsid w:val="003F1113"/>
    <w:rsid w:val="003F35D2"/>
    <w:rsid w:val="003F69DE"/>
    <w:rsid w:val="00402DB8"/>
    <w:rsid w:val="004069A4"/>
    <w:rsid w:val="00407443"/>
    <w:rsid w:val="0041035B"/>
    <w:rsid w:val="0041263A"/>
    <w:rsid w:val="0041451E"/>
    <w:rsid w:val="004217D2"/>
    <w:rsid w:val="0042219B"/>
    <w:rsid w:val="004248DE"/>
    <w:rsid w:val="004259D8"/>
    <w:rsid w:val="004275BB"/>
    <w:rsid w:val="00427729"/>
    <w:rsid w:val="004319E1"/>
    <w:rsid w:val="0043458A"/>
    <w:rsid w:val="00434E71"/>
    <w:rsid w:val="0043512E"/>
    <w:rsid w:val="00435B3A"/>
    <w:rsid w:val="004378CD"/>
    <w:rsid w:val="00437A07"/>
    <w:rsid w:val="00443C2D"/>
    <w:rsid w:val="00446B1F"/>
    <w:rsid w:val="00450276"/>
    <w:rsid w:val="00450987"/>
    <w:rsid w:val="00453A43"/>
    <w:rsid w:val="00453E97"/>
    <w:rsid w:val="00454F2B"/>
    <w:rsid w:val="00455A93"/>
    <w:rsid w:val="00457D10"/>
    <w:rsid w:val="00473031"/>
    <w:rsid w:val="004742FD"/>
    <w:rsid w:val="0047472F"/>
    <w:rsid w:val="0047664C"/>
    <w:rsid w:val="004774E2"/>
    <w:rsid w:val="0047765A"/>
    <w:rsid w:val="00481141"/>
    <w:rsid w:val="0048118B"/>
    <w:rsid w:val="0048294D"/>
    <w:rsid w:val="004856C5"/>
    <w:rsid w:val="00486757"/>
    <w:rsid w:val="004868B7"/>
    <w:rsid w:val="00487A99"/>
    <w:rsid w:val="00497EE1"/>
    <w:rsid w:val="004A354D"/>
    <w:rsid w:val="004A6081"/>
    <w:rsid w:val="004A6BE6"/>
    <w:rsid w:val="004B1000"/>
    <w:rsid w:val="004B1953"/>
    <w:rsid w:val="004B254F"/>
    <w:rsid w:val="004B569E"/>
    <w:rsid w:val="004B61F2"/>
    <w:rsid w:val="004C0C01"/>
    <w:rsid w:val="004C0DAF"/>
    <w:rsid w:val="004C1ACF"/>
    <w:rsid w:val="004C2AE6"/>
    <w:rsid w:val="004C3735"/>
    <w:rsid w:val="004C6A6E"/>
    <w:rsid w:val="004D5976"/>
    <w:rsid w:val="004D5A5A"/>
    <w:rsid w:val="004E0066"/>
    <w:rsid w:val="004E1D0C"/>
    <w:rsid w:val="004E7175"/>
    <w:rsid w:val="004E7E90"/>
    <w:rsid w:val="004E7EB6"/>
    <w:rsid w:val="004F3B59"/>
    <w:rsid w:val="00503826"/>
    <w:rsid w:val="00504DAA"/>
    <w:rsid w:val="00505A35"/>
    <w:rsid w:val="00507C63"/>
    <w:rsid w:val="00514B1C"/>
    <w:rsid w:val="00533C7D"/>
    <w:rsid w:val="00545691"/>
    <w:rsid w:val="00552783"/>
    <w:rsid w:val="00557F9E"/>
    <w:rsid w:val="00563B97"/>
    <w:rsid w:val="00564E5F"/>
    <w:rsid w:val="005658C3"/>
    <w:rsid w:val="00565941"/>
    <w:rsid w:val="005715B9"/>
    <w:rsid w:val="00571C81"/>
    <w:rsid w:val="00572169"/>
    <w:rsid w:val="00573A90"/>
    <w:rsid w:val="005761F1"/>
    <w:rsid w:val="0058077F"/>
    <w:rsid w:val="00580CF6"/>
    <w:rsid w:val="00582485"/>
    <w:rsid w:val="00583AC3"/>
    <w:rsid w:val="00583DFF"/>
    <w:rsid w:val="005861DD"/>
    <w:rsid w:val="00594CDA"/>
    <w:rsid w:val="00595B26"/>
    <w:rsid w:val="00595F20"/>
    <w:rsid w:val="00596B06"/>
    <w:rsid w:val="005A112B"/>
    <w:rsid w:val="005A3B4A"/>
    <w:rsid w:val="005A5B84"/>
    <w:rsid w:val="005A7A11"/>
    <w:rsid w:val="005B08D5"/>
    <w:rsid w:val="005B32CD"/>
    <w:rsid w:val="005B596F"/>
    <w:rsid w:val="005C1501"/>
    <w:rsid w:val="005C3296"/>
    <w:rsid w:val="005C4F3D"/>
    <w:rsid w:val="005C605F"/>
    <w:rsid w:val="005C7E21"/>
    <w:rsid w:val="005D06A1"/>
    <w:rsid w:val="005D0C8F"/>
    <w:rsid w:val="005D3BF4"/>
    <w:rsid w:val="005D5178"/>
    <w:rsid w:val="005E4A60"/>
    <w:rsid w:val="005E58F2"/>
    <w:rsid w:val="005E6215"/>
    <w:rsid w:val="005F16E0"/>
    <w:rsid w:val="005F51D9"/>
    <w:rsid w:val="005F6579"/>
    <w:rsid w:val="005F6810"/>
    <w:rsid w:val="005F70AB"/>
    <w:rsid w:val="005F79F4"/>
    <w:rsid w:val="005F7B58"/>
    <w:rsid w:val="0060464D"/>
    <w:rsid w:val="00605A7B"/>
    <w:rsid w:val="00606FD6"/>
    <w:rsid w:val="00613DF4"/>
    <w:rsid w:val="006147CA"/>
    <w:rsid w:val="00615312"/>
    <w:rsid w:val="00615BBF"/>
    <w:rsid w:val="006202A1"/>
    <w:rsid w:val="0062036B"/>
    <w:rsid w:val="00624B51"/>
    <w:rsid w:val="006259B0"/>
    <w:rsid w:val="00637733"/>
    <w:rsid w:val="00641475"/>
    <w:rsid w:val="00641A9A"/>
    <w:rsid w:val="006444B8"/>
    <w:rsid w:val="00645FB0"/>
    <w:rsid w:val="00651344"/>
    <w:rsid w:val="006533C1"/>
    <w:rsid w:val="00662A06"/>
    <w:rsid w:val="0066521B"/>
    <w:rsid w:val="006661F2"/>
    <w:rsid w:val="006702B9"/>
    <w:rsid w:val="00672C4D"/>
    <w:rsid w:val="00672C69"/>
    <w:rsid w:val="006732E6"/>
    <w:rsid w:val="00676DD1"/>
    <w:rsid w:val="0067713C"/>
    <w:rsid w:val="0067782E"/>
    <w:rsid w:val="00680615"/>
    <w:rsid w:val="00680B00"/>
    <w:rsid w:val="006816C0"/>
    <w:rsid w:val="00690907"/>
    <w:rsid w:val="00692261"/>
    <w:rsid w:val="00695A11"/>
    <w:rsid w:val="006970BE"/>
    <w:rsid w:val="006B23ED"/>
    <w:rsid w:val="006B320B"/>
    <w:rsid w:val="006B3379"/>
    <w:rsid w:val="006B6190"/>
    <w:rsid w:val="006C2A07"/>
    <w:rsid w:val="006C6D25"/>
    <w:rsid w:val="006C7928"/>
    <w:rsid w:val="006C7F97"/>
    <w:rsid w:val="006D3A9C"/>
    <w:rsid w:val="006D3C69"/>
    <w:rsid w:val="006D47DB"/>
    <w:rsid w:val="006D50CF"/>
    <w:rsid w:val="006D5CB0"/>
    <w:rsid w:val="006E3169"/>
    <w:rsid w:val="006F2907"/>
    <w:rsid w:val="007064A8"/>
    <w:rsid w:val="00706EB0"/>
    <w:rsid w:val="00707A3B"/>
    <w:rsid w:val="0071009C"/>
    <w:rsid w:val="007114B1"/>
    <w:rsid w:val="007144A6"/>
    <w:rsid w:val="00714730"/>
    <w:rsid w:val="007175D7"/>
    <w:rsid w:val="00720000"/>
    <w:rsid w:val="00720B7B"/>
    <w:rsid w:val="0072307D"/>
    <w:rsid w:val="00733F90"/>
    <w:rsid w:val="00734221"/>
    <w:rsid w:val="00734E0B"/>
    <w:rsid w:val="007352EE"/>
    <w:rsid w:val="00743C05"/>
    <w:rsid w:val="0074511D"/>
    <w:rsid w:val="00746779"/>
    <w:rsid w:val="007541F6"/>
    <w:rsid w:val="00760EC7"/>
    <w:rsid w:val="00764078"/>
    <w:rsid w:val="00764409"/>
    <w:rsid w:val="00764A50"/>
    <w:rsid w:val="007678D5"/>
    <w:rsid w:val="007678DD"/>
    <w:rsid w:val="00771A53"/>
    <w:rsid w:val="00772FBF"/>
    <w:rsid w:val="007756FC"/>
    <w:rsid w:val="00776ABD"/>
    <w:rsid w:val="007813D8"/>
    <w:rsid w:val="0078143C"/>
    <w:rsid w:val="0078184F"/>
    <w:rsid w:val="00782E78"/>
    <w:rsid w:val="00782F2C"/>
    <w:rsid w:val="0078370F"/>
    <w:rsid w:val="00784764"/>
    <w:rsid w:val="00792DCE"/>
    <w:rsid w:val="007973E2"/>
    <w:rsid w:val="007A2974"/>
    <w:rsid w:val="007A3B7A"/>
    <w:rsid w:val="007A6831"/>
    <w:rsid w:val="007A7670"/>
    <w:rsid w:val="007B091C"/>
    <w:rsid w:val="007B37A7"/>
    <w:rsid w:val="007B5C7F"/>
    <w:rsid w:val="007C1AC3"/>
    <w:rsid w:val="007C42D6"/>
    <w:rsid w:val="007C4A39"/>
    <w:rsid w:val="007C635E"/>
    <w:rsid w:val="007C7EDE"/>
    <w:rsid w:val="007D4388"/>
    <w:rsid w:val="007D574F"/>
    <w:rsid w:val="007D57E1"/>
    <w:rsid w:val="007D6234"/>
    <w:rsid w:val="007E0ACE"/>
    <w:rsid w:val="007E0AF1"/>
    <w:rsid w:val="007E2FAE"/>
    <w:rsid w:val="007E7DF9"/>
    <w:rsid w:val="007F3B92"/>
    <w:rsid w:val="007F3F35"/>
    <w:rsid w:val="007F53A0"/>
    <w:rsid w:val="007F6884"/>
    <w:rsid w:val="007F71CB"/>
    <w:rsid w:val="007F7C86"/>
    <w:rsid w:val="008001A0"/>
    <w:rsid w:val="008029A0"/>
    <w:rsid w:val="008048F6"/>
    <w:rsid w:val="0080614F"/>
    <w:rsid w:val="0081127A"/>
    <w:rsid w:val="008125FC"/>
    <w:rsid w:val="008138A0"/>
    <w:rsid w:val="008212B4"/>
    <w:rsid w:val="00822FFA"/>
    <w:rsid w:val="00823010"/>
    <w:rsid w:val="008239FD"/>
    <w:rsid w:val="00825D3A"/>
    <w:rsid w:val="00825D59"/>
    <w:rsid w:val="00833437"/>
    <w:rsid w:val="008345D8"/>
    <w:rsid w:val="008403A6"/>
    <w:rsid w:val="00840AD1"/>
    <w:rsid w:val="00843862"/>
    <w:rsid w:val="00845DE4"/>
    <w:rsid w:val="00850048"/>
    <w:rsid w:val="008511AD"/>
    <w:rsid w:val="00851589"/>
    <w:rsid w:val="008552C3"/>
    <w:rsid w:val="008566D1"/>
    <w:rsid w:val="0086484F"/>
    <w:rsid w:val="00864AFC"/>
    <w:rsid w:val="00866B45"/>
    <w:rsid w:val="00866E06"/>
    <w:rsid w:val="00874D9E"/>
    <w:rsid w:val="00874E51"/>
    <w:rsid w:val="00882048"/>
    <w:rsid w:val="0088222B"/>
    <w:rsid w:val="00883019"/>
    <w:rsid w:val="008840CB"/>
    <w:rsid w:val="0088449E"/>
    <w:rsid w:val="00887962"/>
    <w:rsid w:val="008919FC"/>
    <w:rsid w:val="00895E71"/>
    <w:rsid w:val="008A1C56"/>
    <w:rsid w:val="008A76BA"/>
    <w:rsid w:val="008A7F65"/>
    <w:rsid w:val="008B0240"/>
    <w:rsid w:val="008B602A"/>
    <w:rsid w:val="008C0EFA"/>
    <w:rsid w:val="008C1720"/>
    <w:rsid w:val="008C2C6C"/>
    <w:rsid w:val="008C3096"/>
    <w:rsid w:val="008D04A7"/>
    <w:rsid w:val="008D0D39"/>
    <w:rsid w:val="008D10B4"/>
    <w:rsid w:val="008D1C4D"/>
    <w:rsid w:val="008D29E1"/>
    <w:rsid w:val="008D38FE"/>
    <w:rsid w:val="008D4033"/>
    <w:rsid w:val="008D4FE9"/>
    <w:rsid w:val="008D557B"/>
    <w:rsid w:val="008D6CBE"/>
    <w:rsid w:val="008E034C"/>
    <w:rsid w:val="008E73DC"/>
    <w:rsid w:val="008E7417"/>
    <w:rsid w:val="008F3E35"/>
    <w:rsid w:val="009031C4"/>
    <w:rsid w:val="009036A1"/>
    <w:rsid w:val="00906CE9"/>
    <w:rsid w:val="0091154A"/>
    <w:rsid w:val="00914D01"/>
    <w:rsid w:val="00916BFB"/>
    <w:rsid w:val="00916C28"/>
    <w:rsid w:val="0092296E"/>
    <w:rsid w:val="00923BE8"/>
    <w:rsid w:val="0092429A"/>
    <w:rsid w:val="00930654"/>
    <w:rsid w:val="0093093D"/>
    <w:rsid w:val="0093383A"/>
    <w:rsid w:val="00940FD5"/>
    <w:rsid w:val="00945BD2"/>
    <w:rsid w:val="00946453"/>
    <w:rsid w:val="0095070A"/>
    <w:rsid w:val="00951494"/>
    <w:rsid w:val="00952321"/>
    <w:rsid w:val="009527D7"/>
    <w:rsid w:val="00952800"/>
    <w:rsid w:val="00953076"/>
    <w:rsid w:val="00954626"/>
    <w:rsid w:val="00954BFA"/>
    <w:rsid w:val="00954EEB"/>
    <w:rsid w:val="0095517E"/>
    <w:rsid w:val="00957198"/>
    <w:rsid w:val="0096481D"/>
    <w:rsid w:val="00974AF9"/>
    <w:rsid w:val="0097767C"/>
    <w:rsid w:val="00980140"/>
    <w:rsid w:val="00981612"/>
    <w:rsid w:val="009816D0"/>
    <w:rsid w:val="00984127"/>
    <w:rsid w:val="00984B51"/>
    <w:rsid w:val="00986CD9"/>
    <w:rsid w:val="009878FF"/>
    <w:rsid w:val="00987FEE"/>
    <w:rsid w:val="009A0EE2"/>
    <w:rsid w:val="009A1EAA"/>
    <w:rsid w:val="009A227B"/>
    <w:rsid w:val="009A4A3F"/>
    <w:rsid w:val="009A4CB0"/>
    <w:rsid w:val="009A54F2"/>
    <w:rsid w:val="009B3828"/>
    <w:rsid w:val="009B47D5"/>
    <w:rsid w:val="009B4E2A"/>
    <w:rsid w:val="009B5D74"/>
    <w:rsid w:val="009B60D5"/>
    <w:rsid w:val="009C2EFD"/>
    <w:rsid w:val="009C3731"/>
    <w:rsid w:val="009C3A6B"/>
    <w:rsid w:val="009C3CB5"/>
    <w:rsid w:val="009C5300"/>
    <w:rsid w:val="009C663B"/>
    <w:rsid w:val="009C6DEC"/>
    <w:rsid w:val="009D12D0"/>
    <w:rsid w:val="009D2603"/>
    <w:rsid w:val="009D4CF7"/>
    <w:rsid w:val="009E0969"/>
    <w:rsid w:val="009E3053"/>
    <w:rsid w:val="009E5FDD"/>
    <w:rsid w:val="009E6056"/>
    <w:rsid w:val="009F1272"/>
    <w:rsid w:val="00A047CA"/>
    <w:rsid w:val="00A11A4F"/>
    <w:rsid w:val="00A136D2"/>
    <w:rsid w:val="00A15923"/>
    <w:rsid w:val="00A2031F"/>
    <w:rsid w:val="00A204DE"/>
    <w:rsid w:val="00A205DF"/>
    <w:rsid w:val="00A22AB8"/>
    <w:rsid w:val="00A2388D"/>
    <w:rsid w:val="00A23CD3"/>
    <w:rsid w:val="00A27992"/>
    <w:rsid w:val="00A31955"/>
    <w:rsid w:val="00A340DF"/>
    <w:rsid w:val="00A350F8"/>
    <w:rsid w:val="00A35443"/>
    <w:rsid w:val="00A3720C"/>
    <w:rsid w:val="00A40771"/>
    <w:rsid w:val="00A40A44"/>
    <w:rsid w:val="00A41802"/>
    <w:rsid w:val="00A42B34"/>
    <w:rsid w:val="00A477DF"/>
    <w:rsid w:val="00A56CC9"/>
    <w:rsid w:val="00A608CB"/>
    <w:rsid w:val="00A60FF2"/>
    <w:rsid w:val="00A65758"/>
    <w:rsid w:val="00A66566"/>
    <w:rsid w:val="00A8071F"/>
    <w:rsid w:val="00A91276"/>
    <w:rsid w:val="00A91CEB"/>
    <w:rsid w:val="00A92D83"/>
    <w:rsid w:val="00A9500D"/>
    <w:rsid w:val="00A959B1"/>
    <w:rsid w:val="00A978DF"/>
    <w:rsid w:val="00AA0C3C"/>
    <w:rsid w:val="00AA373D"/>
    <w:rsid w:val="00AA4B41"/>
    <w:rsid w:val="00AA5F3F"/>
    <w:rsid w:val="00AA631F"/>
    <w:rsid w:val="00AA692B"/>
    <w:rsid w:val="00AA6ECA"/>
    <w:rsid w:val="00AB7087"/>
    <w:rsid w:val="00AC011D"/>
    <w:rsid w:val="00AC102E"/>
    <w:rsid w:val="00AD1F04"/>
    <w:rsid w:val="00AD340C"/>
    <w:rsid w:val="00AD4970"/>
    <w:rsid w:val="00AD7DE9"/>
    <w:rsid w:val="00AE4247"/>
    <w:rsid w:val="00AE5E47"/>
    <w:rsid w:val="00AE72DA"/>
    <w:rsid w:val="00B00A13"/>
    <w:rsid w:val="00B02E12"/>
    <w:rsid w:val="00B03A88"/>
    <w:rsid w:val="00B10510"/>
    <w:rsid w:val="00B10942"/>
    <w:rsid w:val="00B16490"/>
    <w:rsid w:val="00B217CE"/>
    <w:rsid w:val="00B226E0"/>
    <w:rsid w:val="00B22AF9"/>
    <w:rsid w:val="00B22E93"/>
    <w:rsid w:val="00B256C2"/>
    <w:rsid w:val="00B339F8"/>
    <w:rsid w:val="00B463E2"/>
    <w:rsid w:val="00B477F2"/>
    <w:rsid w:val="00B47852"/>
    <w:rsid w:val="00B47F10"/>
    <w:rsid w:val="00B51715"/>
    <w:rsid w:val="00B51B4F"/>
    <w:rsid w:val="00B52B1E"/>
    <w:rsid w:val="00B6359F"/>
    <w:rsid w:val="00B82B86"/>
    <w:rsid w:val="00B8648A"/>
    <w:rsid w:val="00B90587"/>
    <w:rsid w:val="00B9712C"/>
    <w:rsid w:val="00B971C3"/>
    <w:rsid w:val="00BA0EE2"/>
    <w:rsid w:val="00BA6D74"/>
    <w:rsid w:val="00BB2019"/>
    <w:rsid w:val="00BB5756"/>
    <w:rsid w:val="00BC0EA8"/>
    <w:rsid w:val="00BC72AC"/>
    <w:rsid w:val="00BD3F12"/>
    <w:rsid w:val="00BD4E64"/>
    <w:rsid w:val="00BD73F8"/>
    <w:rsid w:val="00BE3A60"/>
    <w:rsid w:val="00BE58DD"/>
    <w:rsid w:val="00BF0C6F"/>
    <w:rsid w:val="00BF1C3C"/>
    <w:rsid w:val="00BF225C"/>
    <w:rsid w:val="00BF5D3D"/>
    <w:rsid w:val="00C06716"/>
    <w:rsid w:val="00C07D40"/>
    <w:rsid w:val="00C1105B"/>
    <w:rsid w:val="00C1692A"/>
    <w:rsid w:val="00C17BC2"/>
    <w:rsid w:val="00C2236B"/>
    <w:rsid w:val="00C24FDB"/>
    <w:rsid w:val="00C2657E"/>
    <w:rsid w:val="00C2779B"/>
    <w:rsid w:val="00C34524"/>
    <w:rsid w:val="00C36868"/>
    <w:rsid w:val="00C4327A"/>
    <w:rsid w:val="00C4554A"/>
    <w:rsid w:val="00C47750"/>
    <w:rsid w:val="00C51D25"/>
    <w:rsid w:val="00C56C9B"/>
    <w:rsid w:val="00C63B5C"/>
    <w:rsid w:val="00C641DD"/>
    <w:rsid w:val="00C66C50"/>
    <w:rsid w:val="00C702D9"/>
    <w:rsid w:val="00C70CCC"/>
    <w:rsid w:val="00C73673"/>
    <w:rsid w:val="00C76699"/>
    <w:rsid w:val="00C83339"/>
    <w:rsid w:val="00C837CD"/>
    <w:rsid w:val="00C866CE"/>
    <w:rsid w:val="00C87B2C"/>
    <w:rsid w:val="00C902EA"/>
    <w:rsid w:val="00C90658"/>
    <w:rsid w:val="00C97D85"/>
    <w:rsid w:val="00CA28BB"/>
    <w:rsid w:val="00CB0633"/>
    <w:rsid w:val="00CB393D"/>
    <w:rsid w:val="00CB52F0"/>
    <w:rsid w:val="00CC296F"/>
    <w:rsid w:val="00CC47FF"/>
    <w:rsid w:val="00CC71CE"/>
    <w:rsid w:val="00CC7FC0"/>
    <w:rsid w:val="00CD4393"/>
    <w:rsid w:val="00CD47FA"/>
    <w:rsid w:val="00CD4E38"/>
    <w:rsid w:val="00CD63BA"/>
    <w:rsid w:val="00CE0B6F"/>
    <w:rsid w:val="00CE0C8C"/>
    <w:rsid w:val="00CE1C82"/>
    <w:rsid w:val="00CE4323"/>
    <w:rsid w:val="00CE5993"/>
    <w:rsid w:val="00D0322B"/>
    <w:rsid w:val="00D06434"/>
    <w:rsid w:val="00D06C22"/>
    <w:rsid w:val="00D11FA2"/>
    <w:rsid w:val="00D152B3"/>
    <w:rsid w:val="00D17968"/>
    <w:rsid w:val="00D17DA5"/>
    <w:rsid w:val="00D20463"/>
    <w:rsid w:val="00D216C0"/>
    <w:rsid w:val="00D26003"/>
    <w:rsid w:val="00D32111"/>
    <w:rsid w:val="00D40453"/>
    <w:rsid w:val="00D42056"/>
    <w:rsid w:val="00D470B2"/>
    <w:rsid w:val="00D518D3"/>
    <w:rsid w:val="00D57903"/>
    <w:rsid w:val="00D57AB3"/>
    <w:rsid w:val="00D60146"/>
    <w:rsid w:val="00D60D44"/>
    <w:rsid w:val="00D706EC"/>
    <w:rsid w:val="00D710D8"/>
    <w:rsid w:val="00D748C2"/>
    <w:rsid w:val="00D83D78"/>
    <w:rsid w:val="00D86A37"/>
    <w:rsid w:val="00D87753"/>
    <w:rsid w:val="00D90064"/>
    <w:rsid w:val="00D927C0"/>
    <w:rsid w:val="00D930A8"/>
    <w:rsid w:val="00D95279"/>
    <w:rsid w:val="00D9690E"/>
    <w:rsid w:val="00D96ABA"/>
    <w:rsid w:val="00D978EC"/>
    <w:rsid w:val="00DA0E65"/>
    <w:rsid w:val="00DA3EA5"/>
    <w:rsid w:val="00DA7516"/>
    <w:rsid w:val="00DA7655"/>
    <w:rsid w:val="00DB091F"/>
    <w:rsid w:val="00DB0A7B"/>
    <w:rsid w:val="00DB1CD7"/>
    <w:rsid w:val="00DB3CEA"/>
    <w:rsid w:val="00DC24B2"/>
    <w:rsid w:val="00DC36C3"/>
    <w:rsid w:val="00DC4AA8"/>
    <w:rsid w:val="00DD2444"/>
    <w:rsid w:val="00DD4985"/>
    <w:rsid w:val="00DE38A6"/>
    <w:rsid w:val="00DF032D"/>
    <w:rsid w:val="00DF155B"/>
    <w:rsid w:val="00DF4B81"/>
    <w:rsid w:val="00DF7F95"/>
    <w:rsid w:val="00E03057"/>
    <w:rsid w:val="00E055B4"/>
    <w:rsid w:val="00E056F9"/>
    <w:rsid w:val="00E17139"/>
    <w:rsid w:val="00E2550D"/>
    <w:rsid w:val="00E25F8E"/>
    <w:rsid w:val="00E316E3"/>
    <w:rsid w:val="00E35404"/>
    <w:rsid w:val="00E440AE"/>
    <w:rsid w:val="00E5136A"/>
    <w:rsid w:val="00E625A3"/>
    <w:rsid w:val="00E625E8"/>
    <w:rsid w:val="00E66758"/>
    <w:rsid w:val="00E66CA6"/>
    <w:rsid w:val="00E67EB1"/>
    <w:rsid w:val="00E8054B"/>
    <w:rsid w:val="00E80C4B"/>
    <w:rsid w:val="00E820F2"/>
    <w:rsid w:val="00E822D2"/>
    <w:rsid w:val="00E92FE4"/>
    <w:rsid w:val="00E951DC"/>
    <w:rsid w:val="00E977E1"/>
    <w:rsid w:val="00E97E81"/>
    <w:rsid w:val="00EA18A2"/>
    <w:rsid w:val="00EA2A0D"/>
    <w:rsid w:val="00EA2A57"/>
    <w:rsid w:val="00EA3783"/>
    <w:rsid w:val="00EA396B"/>
    <w:rsid w:val="00EA6179"/>
    <w:rsid w:val="00EA6EDB"/>
    <w:rsid w:val="00EA7E03"/>
    <w:rsid w:val="00EB0897"/>
    <w:rsid w:val="00EB54B5"/>
    <w:rsid w:val="00EB5CCF"/>
    <w:rsid w:val="00EB7B47"/>
    <w:rsid w:val="00EB7F03"/>
    <w:rsid w:val="00EC25F6"/>
    <w:rsid w:val="00EC4CC1"/>
    <w:rsid w:val="00EC52DB"/>
    <w:rsid w:val="00EC5FA4"/>
    <w:rsid w:val="00ED5827"/>
    <w:rsid w:val="00ED6138"/>
    <w:rsid w:val="00EE0CDD"/>
    <w:rsid w:val="00EE14BF"/>
    <w:rsid w:val="00EE2BB2"/>
    <w:rsid w:val="00EE2CA4"/>
    <w:rsid w:val="00EE3185"/>
    <w:rsid w:val="00EE3F35"/>
    <w:rsid w:val="00EE6214"/>
    <w:rsid w:val="00EE6845"/>
    <w:rsid w:val="00EF04C5"/>
    <w:rsid w:val="00EF25DC"/>
    <w:rsid w:val="00EF6225"/>
    <w:rsid w:val="00EF73C1"/>
    <w:rsid w:val="00F0081D"/>
    <w:rsid w:val="00F03E52"/>
    <w:rsid w:val="00F051E0"/>
    <w:rsid w:val="00F06A27"/>
    <w:rsid w:val="00F11430"/>
    <w:rsid w:val="00F115C8"/>
    <w:rsid w:val="00F13DD5"/>
    <w:rsid w:val="00F147B5"/>
    <w:rsid w:val="00F16550"/>
    <w:rsid w:val="00F217AE"/>
    <w:rsid w:val="00F2471C"/>
    <w:rsid w:val="00F25120"/>
    <w:rsid w:val="00F252CA"/>
    <w:rsid w:val="00F266CF"/>
    <w:rsid w:val="00F30FA7"/>
    <w:rsid w:val="00F33BCF"/>
    <w:rsid w:val="00F35A35"/>
    <w:rsid w:val="00F35C84"/>
    <w:rsid w:val="00F4215D"/>
    <w:rsid w:val="00F453A7"/>
    <w:rsid w:val="00F45426"/>
    <w:rsid w:val="00F4646D"/>
    <w:rsid w:val="00F512C4"/>
    <w:rsid w:val="00F51437"/>
    <w:rsid w:val="00F54F51"/>
    <w:rsid w:val="00F5518A"/>
    <w:rsid w:val="00F55374"/>
    <w:rsid w:val="00F55E5B"/>
    <w:rsid w:val="00F63C5E"/>
    <w:rsid w:val="00F71789"/>
    <w:rsid w:val="00F74711"/>
    <w:rsid w:val="00F754DA"/>
    <w:rsid w:val="00F76F20"/>
    <w:rsid w:val="00F77AAD"/>
    <w:rsid w:val="00F8593D"/>
    <w:rsid w:val="00F8626A"/>
    <w:rsid w:val="00F912B4"/>
    <w:rsid w:val="00F9602F"/>
    <w:rsid w:val="00FA79B1"/>
    <w:rsid w:val="00FB1FD4"/>
    <w:rsid w:val="00FB3B0A"/>
    <w:rsid w:val="00FB7813"/>
    <w:rsid w:val="00FC3491"/>
    <w:rsid w:val="00FC4DA0"/>
    <w:rsid w:val="00FD1CDA"/>
    <w:rsid w:val="00FD2D12"/>
    <w:rsid w:val="00FD4FEF"/>
    <w:rsid w:val="00FD5554"/>
    <w:rsid w:val="00FD6312"/>
    <w:rsid w:val="00FD644F"/>
    <w:rsid w:val="00FD6474"/>
    <w:rsid w:val="00FE4315"/>
    <w:rsid w:val="00FF4EDB"/>
    <w:rsid w:val="03483413"/>
    <w:rsid w:val="051E0804"/>
    <w:rsid w:val="061834DB"/>
    <w:rsid w:val="085E716A"/>
    <w:rsid w:val="0C1C35C4"/>
    <w:rsid w:val="0D313C33"/>
    <w:rsid w:val="0DD26630"/>
    <w:rsid w:val="0E8C4A31"/>
    <w:rsid w:val="11567578"/>
    <w:rsid w:val="141F1EA3"/>
    <w:rsid w:val="14373691"/>
    <w:rsid w:val="14C36CD2"/>
    <w:rsid w:val="15595AC9"/>
    <w:rsid w:val="16AB5C70"/>
    <w:rsid w:val="172932F9"/>
    <w:rsid w:val="1783099B"/>
    <w:rsid w:val="184C5231"/>
    <w:rsid w:val="18CB25F9"/>
    <w:rsid w:val="1B063DBD"/>
    <w:rsid w:val="20941F97"/>
    <w:rsid w:val="21C4408A"/>
    <w:rsid w:val="21F229A5"/>
    <w:rsid w:val="23DA1CF0"/>
    <w:rsid w:val="2424465B"/>
    <w:rsid w:val="275639D6"/>
    <w:rsid w:val="29310257"/>
    <w:rsid w:val="2BD31A99"/>
    <w:rsid w:val="2DCE076A"/>
    <w:rsid w:val="2F4F7689"/>
    <w:rsid w:val="2F634EE2"/>
    <w:rsid w:val="306C7AD3"/>
    <w:rsid w:val="31C279F9"/>
    <w:rsid w:val="33635037"/>
    <w:rsid w:val="338A642D"/>
    <w:rsid w:val="35C42453"/>
    <w:rsid w:val="35D25A6E"/>
    <w:rsid w:val="35D45378"/>
    <w:rsid w:val="36CE3589"/>
    <w:rsid w:val="396106E4"/>
    <w:rsid w:val="3AA765CB"/>
    <w:rsid w:val="3D347EBE"/>
    <w:rsid w:val="3D6267D9"/>
    <w:rsid w:val="3DE54CCD"/>
    <w:rsid w:val="3F19736B"/>
    <w:rsid w:val="40667C78"/>
    <w:rsid w:val="40EA1084"/>
    <w:rsid w:val="44056110"/>
    <w:rsid w:val="445D7CFA"/>
    <w:rsid w:val="46F05F53"/>
    <w:rsid w:val="47136D96"/>
    <w:rsid w:val="48392A99"/>
    <w:rsid w:val="48735D3E"/>
    <w:rsid w:val="4C92075D"/>
    <w:rsid w:val="4DBD7A5B"/>
    <w:rsid w:val="4E5008D0"/>
    <w:rsid w:val="4F6C7D0A"/>
    <w:rsid w:val="510C6D30"/>
    <w:rsid w:val="51B11685"/>
    <w:rsid w:val="53852DC9"/>
    <w:rsid w:val="53B13BBE"/>
    <w:rsid w:val="545F186C"/>
    <w:rsid w:val="54E67898"/>
    <w:rsid w:val="54FB77E7"/>
    <w:rsid w:val="5789732C"/>
    <w:rsid w:val="587B102F"/>
    <w:rsid w:val="58BF28DA"/>
    <w:rsid w:val="5B5A2D8E"/>
    <w:rsid w:val="5E895E64"/>
    <w:rsid w:val="5EB822A5"/>
    <w:rsid w:val="603C0CB4"/>
    <w:rsid w:val="61330309"/>
    <w:rsid w:val="61AB60F1"/>
    <w:rsid w:val="625642AF"/>
    <w:rsid w:val="642D103F"/>
    <w:rsid w:val="64813139"/>
    <w:rsid w:val="659173DE"/>
    <w:rsid w:val="65B337C6"/>
    <w:rsid w:val="65E960E5"/>
    <w:rsid w:val="67511200"/>
    <w:rsid w:val="676A497C"/>
    <w:rsid w:val="681542C4"/>
    <w:rsid w:val="69CC4E56"/>
    <w:rsid w:val="6B380F1E"/>
    <w:rsid w:val="6BC2D95E"/>
    <w:rsid w:val="6CAE4CE7"/>
    <w:rsid w:val="6F5F35EF"/>
    <w:rsid w:val="6FCF56A0"/>
    <w:rsid w:val="711F57AE"/>
    <w:rsid w:val="736A6DE2"/>
    <w:rsid w:val="73C44DF0"/>
    <w:rsid w:val="73EF69C9"/>
    <w:rsid w:val="74582108"/>
    <w:rsid w:val="74982505"/>
    <w:rsid w:val="75AE50C4"/>
    <w:rsid w:val="76E732D0"/>
    <w:rsid w:val="76FD1D4A"/>
    <w:rsid w:val="76FD780E"/>
    <w:rsid w:val="7A8B6668"/>
    <w:rsid w:val="7AB13909"/>
    <w:rsid w:val="7AB7745D"/>
    <w:rsid w:val="7ABD2F4F"/>
    <w:rsid w:val="7CC52305"/>
    <w:rsid w:val="7CF36423"/>
    <w:rsid w:val="7D55B470"/>
    <w:rsid w:val="7E0D0861"/>
    <w:rsid w:val="7E6D67B0"/>
    <w:rsid w:val="97BBCFBB"/>
    <w:rsid w:val="ACE58465"/>
    <w:rsid w:val="B3FEFD5C"/>
    <w:rsid w:val="B4F51EA3"/>
    <w:rsid w:val="B7FD5908"/>
    <w:rsid w:val="BBFEA003"/>
    <w:rsid w:val="BE3B2311"/>
    <w:rsid w:val="C96B3742"/>
    <w:rsid w:val="D3F3C6BC"/>
    <w:rsid w:val="E8171366"/>
    <w:rsid w:val="F3E932F5"/>
    <w:rsid w:val="F7BF5833"/>
    <w:rsid w:val="FEDFED8D"/>
    <w:rsid w:val="FFCF1F8E"/>
    <w:rsid w:val="FFFB9AB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7"/>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uiPriority w:val="99"/>
    <w:rPr>
      <w:sz w:val="24"/>
    </w:rPr>
  </w:style>
  <w:style w:type="paragraph" w:styleId="7">
    <w:name w:val="annotation subject"/>
    <w:basedOn w:val="2"/>
    <w:next w:val="2"/>
    <w:link w:val="18"/>
    <w:semiHidden/>
    <w:unhideWhenUsed/>
    <w:qFormat/>
    <w:uiPriority w:val="99"/>
    <w:rPr>
      <w:b/>
      <w:bCs/>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character" w:customStyle="1" w:styleId="12">
    <w:name w:val="批注框文本 字符"/>
    <w:basedOn w:val="10"/>
    <w:link w:val="3"/>
    <w:semiHidden/>
    <w:qFormat/>
    <w:uiPriority w:val="99"/>
    <w:rPr>
      <w:sz w:val="18"/>
      <w:szCs w:val="18"/>
    </w:rPr>
  </w:style>
  <w:style w:type="paragraph" w:customStyle="1" w:styleId="13">
    <w:name w:val="列出段落1"/>
    <w:basedOn w:val="1"/>
    <w:qFormat/>
    <w:uiPriority w:val="34"/>
    <w:pPr>
      <w:ind w:firstLine="420" w:firstLineChars="200"/>
    </w:pPr>
  </w:style>
  <w:style w:type="character" w:customStyle="1" w:styleId="14">
    <w:name w:val="页脚 字符"/>
    <w:basedOn w:val="10"/>
    <w:link w:val="4"/>
    <w:qFormat/>
    <w:uiPriority w:val="99"/>
    <w:rPr>
      <w:sz w:val="18"/>
      <w:szCs w:val="18"/>
    </w:rPr>
  </w:style>
  <w:style w:type="character" w:customStyle="1" w:styleId="15">
    <w:name w:val="页眉 字符"/>
    <w:basedOn w:val="10"/>
    <w:link w:val="5"/>
    <w:qFormat/>
    <w:uiPriority w:val="99"/>
    <w:rPr>
      <w:sz w:val="18"/>
      <w:szCs w:val="18"/>
    </w:rPr>
  </w:style>
  <w:style w:type="character" w:customStyle="1" w:styleId="16">
    <w:name w:val="im-content1"/>
    <w:basedOn w:val="10"/>
    <w:qFormat/>
    <w:uiPriority w:val="0"/>
    <w:rPr>
      <w:color w:val="333333"/>
    </w:rPr>
  </w:style>
  <w:style w:type="character" w:customStyle="1" w:styleId="17">
    <w:name w:val="批注文字 字符"/>
    <w:basedOn w:val="10"/>
    <w:link w:val="2"/>
    <w:qFormat/>
    <w:uiPriority w:val="99"/>
    <w:rPr>
      <w:kern w:val="2"/>
      <w:sz w:val="21"/>
      <w:szCs w:val="22"/>
    </w:rPr>
  </w:style>
  <w:style w:type="character" w:customStyle="1" w:styleId="18">
    <w:name w:val="批注主题 字符"/>
    <w:basedOn w:val="17"/>
    <w:link w:val="7"/>
    <w:semiHidden/>
    <w:qFormat/>
    <w:uiPriority w:val="99"/>
    <w:rPr>
      <w:b/>
      <w:bCs/>
      <w:kern w:val="2"/>
      <w:sz w:val="21"/>
      <w:szCs w:val="22"/>
    </w:rPr>
  </w:style>
  <w:style w:type="character" w:styleId="19">
    <w:name w:val="Placeholder Text"/>
    <w:basedOn w:val="10"/>
    <w:unhideWhenUsed/>
    <w:qFormat/>
    <w:uiPriority w:val="99"/>
    <w:rPr>
      <w:color w:val="808080"/>
    </w:rPr>
  </w:style>
  <w:style w:type="paragraph" w:styleId="20">
    <w:name w:val="List Paragraph"/>
    <w:basedOn w:val="1"/>
    <w:qFormat/>
    <w:uiPriority w:val="99"/>
    <w:pPr>
      <w:ind w:firstLine="420" w:firstLineChars="200"/>
    </w:pPr>
  </w:style>
  <w:style w:type="paragraph" w:customStyle="1" w:styleId="2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99C88620D494BEEBE35361C5E5141C7"/>
        <w:style w:val=""/>
        <w:category>
          <w:name w:val="常规"/>
          <w:gallery w:val="placeholder"/>
        </w:category>
        <w:types>
          <w:type w:val="bbPlcHdr"/>
        </w:types>
        <w:behaviors>
          <w:behavior w:val="content"/>
        </w:behaviors>
        <w:description w:val=""/>
        <w:guid w:val="{994690E4-57D2-4089-A22E-6C7DE58D2417}"/>
      </w:docPartPr>
      <w:docPartBody>
        <w:p w14:paraId="66D9E977">
          <w:pPr>
            <w:pStyle w:val="6"/>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792"/>
    <w:rsid w:val="000717CD"/>
    <w:rsid w:val="00072CDE"/>
    <w:rsid w:val="00084DC0"/>
    <w:rsid w:val="000866BA"/>
    <w:rsid w:val="000B10BA"/>
    <w:rsid w:val="000B552A"/>
    <w:rsid w:val="000D1C0E"/>
    <w:rsid w:val="000F194D"/>
    <w:rsid w:val="000F2CE7"/>
    <w:rsid w:val="000F7F73"/>
    <w:rsid w:val="001033F6"/>
    <w:rsid w:val="00146531"/>
    <w:rsid w:val="0014798E"/>
    <w:rsid w:val="00170658"/>
    <w:rsid w:val="001729C2"/>
    <w:rsid w:val="00180A2A"/>
    <w:rsid w:val="001843AE"/>
    <w:rsid w:val="001929B4"/>
    <w:rsid w:val="001943DC"/>
    <w:rsid w:val="001B694B"/>
    <w:rsid w:val="001C5019"/>
    <w:rsid w:val="001C7851"/>
    <w:rsid w:val="001E2F83"/>
    <w:rsid w:val="001F3FC8"/>
    <w:rsid w:val="00206D39"/>
    <w:rsid w:val="00217EC4"/>
    <w:rsid w:val="00246DAC"/>
    <w:rsid w:val="0025255E"/>
    <w:rsid w:val="00264D7A"/>
    <w:rsid w:val="0028429D"/>
    <w:rsid w:val="00284B71"/>
    <w:rsid w:val="00295654"/>
    <w:rsid w:val="00296500"/>
    <w:rsid w:val="002B3351"/>
    <w:rsid w:val="002C6E62"/>
    <w:rsid w:val="00316FDF"/>
    <w:rsid w:val="00341BA6"/>
    <w:rsid w:val="00345CD0"/>
    <w:rsid w:val="00373BD0"/>
    <w:rsid w:val="003F7435"/>
    <w:rsid w:val="003F7792"/>
    <w:rsid w:val="0040122B"/>
    <w:rsid w:val="00412221"/>
    <w:rsid w:val="004139F8"/>
    <w:rsid w:val="004257C3"/>
    <w:rsid w:val="004402F9"/>
    <w:rsid w:val="0045631E"/>
    <w:rsid w:val="004763DB"/>
    <w:rsid w:val="00495033"/>
    <w:rsid w:val="004B2285"/>
    <w:rsid w:val="004C0347"/>
    <w:rsid w:val="004F139C"/>
    <w:rsid w:val="00504374"/>
    <w:rsid w:val="005048B4"/>
    <w:rsid w:val="00564740"/>
    <w:rsid w:val="00564AD0"/>
    <w:rsid w:val="0059265A"/>
    <w:rsid w:val="005D4FB3"/>
    <w:rsid w:val="005F478C"/>
    <w:rsid w:val="00601A5D"/>
    <w:rsid w:val="006205BA"/>
    <w:rsid w:val="00621B44"/>
    <w:rsid w:val="00643478"/>
    <w:rsid w:val="00644E44"/>
    <w:rsid w:val="00664EEB"/>
    <w:rsid w:val="0068088C"/>
    <w:rsid w:val="006830D7"/>
    <w:rsid w:val="006A2138"/>
    <w:rsid w:val="006B4583"/>
    <w:rsid w:val="006C2404"/>
    <w:rsid w:val="006C64C4"/>
    <w:rsid w:val="006C70AE"/>
    <w:rsid w:val="006F17CF"/>
    <w:rsid w:val="006F3A58"/>
    <w:rsid w:val="007100DD"/>
    <w:rsid w:val="00722BC3"/>
    <w:rsid w:val="00730858"/>
    <w:rsid w:val="00741616"/>
    <w:rsid w:val="00743328"/>
    <w:rsid w:val="007522A3"/>
    <w:rsid w:val="0075379A"/>
    <w:rsid w:val="00770207"/>
    <w:rsid w:val="00814336"/>
    <w:rsid w:val="00827BEA"/>
    <w:rsid w:val="00831C99"/>
    <w:rsid w:val="00856C10"/>
    <w:rsid w:val="00857FF0"/>
    <w:rsid w:val="008958D5"/>
    <w:rsid w:val="008B0DF6"/>
    <w:rsid w:val="008D750E"/>
    <w:rsid w:val="008F71FF"/>
    <w:rsid w:val="00901FCC"/>
    <w:rsid w:val="00907D11"/>
    <w:rsid w:val="00935139"/>
    <w:rsid w:val="0094252E"/>
    <w:rsid w:val="00950519"/>
    <w:rsid w:val="009951FE"/>
    <w:rsid w:val="009A0495"/>
    <w:rsid w:val="009B2E7D"/>
    <w:rsid w:val="009C54D3"/>
    <w:rsid w:val="009D6A63"/>
    <w:rsid w:val="009E68DC"/>
    <w:rsid w:val="00A4357C"/>
    <w:rsid w:val="00A453FB"/>
    <w:rsid w:val="00A46043"/>
    <w:rsid w:val="00A51C69"/>
    <w:rsid w:val="00A66757"/>
    <w:rsid w:val="00AA1865"/>
    <w:rsid w:val="00AA5366"/>
    <w:rsid w:val="00AB5602"/>
    <w:rsid w:val="00AB5634"/>
    <w:rsid w:val="00AB6A2C"/>
    <w:rsid w:val="00AD7B55"/>
    <w:rsid w:val="00AE50EC"/>
    <w:rsid w:val="00AE79A1"/>
    <w:rsid w:val="00AF5011"/>
    <w:rsid w:val="00B002C2"/>
    <w:rsid w:val="00B13AE1"/>
    <w:rsid w:val="00B22337"/>
    <w:rsid w:val="00B47062"/>
    <w:rsid w:val="00B638DA"/>
    <w:rsid w:val="00B81E65"/>
    <w:rsid w:val="00BB4540"/>
    <w:rsid w:val="00BC551C"/>
    <w:rsid w:val="00BD3F4F"/>
    <w:rsid w:val="00C36214"/>
    <w:rsid w:val="00C36240"/>
    <w:rsid w:val="00C37785"/>
    <w:rsid w:val="00C42D75"/>
    <w:rsid w:val="00C52105"/>
    <w:rsid w:val="00C53F6D"/>
    <w:rsid w:val="00C96D38"/>
    <w:rsid w:val="00CD28C6"/>
    <w:rsid w:val="00CE1947"/>
    <w:rsid w:val="00D13640"/>
    <w:rsid w:val="00D31A6A"/>
    <w:rsid w:val="00D54E41"/>
    <w:rsid w:val="00D63DDA"/>
    <w:rsid w:val="00D85A92"/>
    <w:rsid w:val="00D93A49"/>
    <w:rsid w:val="00DC427C"/>
    <w:rsid w:val="00DD10FD"/>
    <w:rsid w:val="00DD6887"/>
    <w:rsid w:val="00E43800"/>
    <w:rsid w:val="00E62FB1"/>
    <w:rsid w:val="00E74807"/>
    <w:rsid w:val="00E94275"/>
    <w:rsid w:val="00EC563B"/>
    <w:rsid w:val="00EE5FBA"/>
    <w:rsid w:val="00EE62E0"/>
    <w:rsid w:val="00EE76E3"/>
    <w:rsid w:val="00F00DEC"/>
    <w:rsid w:val="00F0581D"/>
    <w:rsid w:val="00F06F8A"/>
    <w:rsid w:val="00F43636"/>
    <w:rsid w:val="00F63530"/>
    <w:rsid w:val="00F85B55"/>
    <w:rsid w:val="00FC2943"/>
    <w:rsid w:val="00FC3F64"/>
    <w:rsid w:val="00FD3DCC"/>
    <w:rsid w:val="00FD4137"/>
    <w:rsid w:val="00FF51A6"/>
    <w:rsid w:val="00FF6538"/>
    <w:rsid w:val="00FF7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iPriority="99" w:semiHidden="0"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unhideWhenUsed/>
    <w:qFormat/>
    <w:uiPriority w:val="99"/>
    <w:rPr>
      <w:color w:val="808080"/>
    </w:rPr>
  </w:style>
  <w:style w:type="paragraph" w:customStyle="1" w:styleId="5">
    <w:name w:val="FF795FCCF95B4E73AD26D34F8DDFC38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D99C88620D494BEEBE35361C5E5141C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B2472-AAD0-42F6-A40D-59DDA4F95400}">
  <ds:schemaRefs/>
</ds:datastoreItem>
</file>

<file path=docProps/app.xml><?xml version="1.0" encoding="utf-8"?>
<Properties xmlns="http://schemas.openxmlformats.org/officeDocument/2006/extended-properties" xmlns:vt="http://schemas.openxmlformats.org/officeDocument/2006/docPropsVTypes">
  <Template>Normal</Template>
  <Pages>9</Pages>
  <Words>6676</Words>
  <Characters>6730</Characters>
  <Lines>47</Lines>
  <Paragraphs>13</Paragraphs>
  <TotalTime>46</TotalTime>
  <ScaleCrop>false</ScaleCrop>
  <LinksUpToDate>false</LinksUpToDate>
  <CharactersWithSpaces>6775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2026-03-06T09:09:00Z</dcterms:created>
  <dc:creator>user</dc:creator>
  <cp:lastModifiedBy>珠珠</cp:lastModifiedBy>
  <cp:lastPrinted>2025-10-24T08:13:00Z</cp:lastPrinted>
  <dcterms:modified xsi:type="dcterms:W3CDTF">2026-03-16T02:12:41Z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26B93F18873A4A2B9299B0EC156C4C22_13</vt:lpwstr>
  </property>
  <property fmtid="{D5CDD505-2E9C-101B-9397-08002B2CF9AE}" pid="4" name="KSOTemplateDocerSaveRecord">
    <vt:lpwstr>eyJoZGlkIjoiNzc5YjAzY2E5MTViYmIzOGE5MGI2YTVlNWU2OTFmOTIiLCJ1c2VySWQiOiIxMjE1Mzg3NzM1In0=</vt:lpwstr>
  </property>
</Properties>
</file>