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版本号：SXHT-2026-10020260313001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三原县2025年通村联网（第三批）和建制村通双车道工程监理服务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SXHT-2026-100</w:t>
      </w:r>
      <w:r>
        <w:br/>
      </w:r>
      <w:r>
        <w:br/>
      </w:r>
      <w:r>
        <w:br/>
      </w:r>
    </w:p>
    <w:p>
      <w:pPr>
        <w:pStyle w:val="null3"/>
        <w:jc w:val="center"/>
        <w:outlineLvl w:val="2"/>
      </w:pPr>
      <w:r>
        <w:rPr>
          <w:rFonts w:ascii="仿宋_GB2312" w:hAnsi="仿宋_GB2312" w:cs="仿宋_GB2312" w:eastAsia="仿宋_GB2312"/>
          <w:sz w:val="28"/>
          <w:b/>
        </w:rPr>
        <w:t>三原县农村公路管理站</w:t>
      </w:r>
    </w:p>
    <w:p>
      <w:pPr>
        <w:pStyle w:val="null3"/>
        <w:jc w:val="center"/>
        <w:outlineLvl w:val="2"/>
      </w:pPr>
      <w:r>
        <w:rPr>
          <w:rFonts w:ascii="仿宋_GB2312" w:hAnsi="仿宋_GB2312" w:cs="仿宋_GB2312" w:eastAsia="仿宋_GB2312"/>
          <w:sz w:val="28"/>
          <w:b/>
        </w:rPr>
        <w:t>陕西灏天华阳项目管理有限公司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陕西灏天华阳项目管理有限公司</w:t>
      </w:r>
      <w:r>
        <w:rPr>
          <w:rFonts w:ascii="仿宋_GB2312" w:hAnsi="仿宋_GB2312" w:cs="仿宋_GB2312" w:eastAsia="仿宋_GB2312"/>
        </w:rPr>
        <w:t>（以下简称“代理机构”）受</w:t>
      </w:r>
      <w:r>
        <w:rPr>
          <w:rFonts w:ascii="仿宋_GB2312" w:hAnsi="仿宋_GB2312" w:cs="仿宋_GB2312" w:eastAsia="仿宋_GB2312"/>
        </w:rPr>
        <w:t>三原县农村公路管理站</w:t>
      </w:r>
      <w:r>
        <w:rPr>
          <w:rFonts w:ascii="仿宋_GB2312" w:hAnsi="仿宋_GB2312" w:cs="仿宋_GB2312" w:eastAsia="仿宋_GB2312"/>
        </w:rPr>
        <w:t>委托，拟对</w:t>
      </w:r>
      <w:r>
        <w:rPr>
          <w:rFonts w:ascii="仿宋_GB2312" w:hAnsi="仿宋_GB2312" w:cs="仿宋_GB2312" w:eastAsia="仿宋_GB2312"/>
        </w:rPr>
        <w:t>三原县2025年通村联网（第三批）和建制村通双车道工程监理服务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SXHT-2026-100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三原县2025年通村联网（第三批）和建制村通双车道工程监理服务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本项目拟对三原县2025年通村联网(第三批)和建制村通双车道工程监理服务采购。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采购包1（三原县2025年通村联网(第三批)和建制村通双车道工程监理服务）：属于专门面向中小企业采购。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2、企业资质：具备建设行政主管部门颁发的工程监理综合类资质或公路工程监理乙级（含乙级）以上资质，并在人员、设备、资金等方面具备相应的能力。</w:t>
      </w:r>
    </w:p>
    <w:p>
      <w:pPr>
        <w:pStyle w:val="null3"/>
      </w:pPr>
      <w:r>
        <w:rPr>
          <w:rFonts w:ascii="仿宋_GB2312" w:hAnsi="仿宋_GB2312" w:cs="仿宋_GB2312" w:eastAsia="仿宋_GB2312"/>
        </w:rPr>
        <w:t>3、项目负责人：供应商拟派项目总监理工程师须具备公路工程专业国家注册监理工程师资格，且在本单位注册。</w:t>
      </w:r>
    </w:p>
    <w:p>
      <w:pPr>
        <w:pStyle w:val="null3"/>
      </w:pPr>
      <w:r>
        <w:rPr>
          <w:rFonts w:ascii="仿宋_GB2312" w:hAnsi="仿宋_GB2312" w:cs="仿宋_GB2312" w:eastAsia="仿宋_GB2312"/>
        </w:rPr>
        <w:t>4、财务状况报告：提供经具有审计资质单位出具的2024度的财务审计报告（成立时间至提交投标响应文件截止时间不足一年的可提供成立后任意时段的资产负债表），或其投标前六个月内基本存款账户开户银行出具的资信证明。（以上两种形式的资料提供任何一种即可）</w:t>
      </w:r>
    </w:p>
    <w:p>
      <w:pPr>
        <w:pStyle w:val="null3"/>
      </w:pPr>
      <w:r>
        <w:rPr>
          <w:rFonts w:ascii="仿宋_GB2312" w:hAnsi="仿宋_GB2312" w:cs="仿宋_GB2312" w:eastAsia="仿宋_GB2312"/>
        </w:rPr>
        <w:t>5、税收缴纳证明：提供2025年6月至今已缴纳的至少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6、社会保障资金缴纳证明：提供2025年6月至今已缴纳的至少一个月的社会保障资金缴存单据或社保机构开具的社会保险参保缴费情况证明，依法不需要缴纳社会保障资金的单位应提供相关证明材料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8、承诺声明：提供具有履行合同所必需的设备和专业技术能力的承诺声明。</w:t>
      </w:r>
    </w:p>
    <w:p>
      <w:pPr>
        <w:pStyle w:val="null3"/>
      </w:pPr>
      <w:r>
        <w:rPr>
          <w:rFonts w:ascii="仿宋_GB2312" w:hAnsi="仿宋_GB2312" w:cs="仿宋_GB2312" w:eastAsia="仿宋_GB2312"/>
        </w:rPr>
        <w:t>9、法定代表人授权委托书或法定代表人身份证明：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10、中小企业声明函：本项目专门面向中小企业采购（提供中小企业声明函）</w:t>
      </w:r>
    </w:p>
    <w:p>
      <w:pPr>
        <w:pStyle w:val="null3"/>
      </w:pPr>
      <w:r>
        <w:rPr>
          <w:rFonts w:ascii="仿宋_GB2312" w:hAnsi="仿宋_GB2312" w:cs="仿宋_GB2312" w:eastAsia="仿宋_GB2312"/>
        </w:rPr>
        <w:t>11、信用信息：供应商不得为“信用中国"网站(w.creditahina.gor.n)中列入失信被执行人、重大税收违法失信主体名单，不得为“中国政府采购网”(https://www.ccgp.gov.cn/)政府采购严重违法失信行为记录名单中被财政部门禁止参加政府采购活动的单位</w:t>
      </w:r>
    </w:p>
    <w:p>
      <w:pPr>
        <w:pStyle w:val="null3"/>
      </w:pPr>
      <w:r>
        <w:rPr>
          <w:rFonts w:ascii="仿宋_GB2312" w:hAnsi="仿宋_GB2312" w:cs="仿宋_GB2312" w:eastAsia="仿宋_GB2312"/>
        </w:rPr>
        <w:t>12、不接受联合体：本项目不接受联合体，供应商需在项目电子化交易系统中按要求上传相应证明文件并进行电子签章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三原县城关镇三里店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钱磊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029-32316365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陕西灏天华阳项目管理有限公司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陕西省西安市雁塔区小寨西路皇家公馆英俊楼2213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范生龙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17691239578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席亮</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采购包1：369,009.46元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计费基数，参照《国家计委关于印发&lt;招标代理服务收费管理暂行办法&gt;的通知》（计价格[2002]1980号）和国家发改委办公厅颁发的《关于招标代理服务收费有关问题的通知》（发改办价格【2003】857号）的标准执行。领取中标通知书前，由中标供应商向代理机构缴纳代理服务费，一次性付清。公司名称：陕西灏天华阳项目管理有限公司 开户行：中国建设银行股份有限公司西安长安路支行银行 账号：61050172001500001816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三原县农村公路管理站</w:t>
      </w:r>
      <w:r>
        <w:rPr>
          <w:rFonts w:ascii="仿宋_GB2312" w:hAnsi="仿宋_GB2312" w:cs="仿宋_GB2312" w:eastAsia="仿宋_GB2312"/>
        </w:rPr>
        <w:t>和</w:t>
      </w:r>
      <w:r>
        <w:rPr>
          <w:rFonts w:ascii="仿宋_GB2312" w:hAnsi="仿宋_GB2312" w:cs="仿宋_GB2312" w:eastAsia="仿宋_GB2312"/>
        </w:rPr>
        <w:t>陕西灏天华阳项目管理有限公司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陕西灏天华阳项目管理有限公司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陕西灏天华阳项目管理有限公司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按照合同约定条款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陕西灏天华阳项目管理有限公司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陕西灏天华阳项目管理有限公司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陕西灏天华阳项目管理有限公司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联系人：范生龙</w:t>
      </w:r>
    </w:p>
    <w:p>
      <w:pPr>
        <w:pStyle w:val="null3"/>
      </w:pPr>
      <w:r>
        <w:rPr>
          <w:rFonts w:ascii="仿宋_GB2312" w:hAnsi="仿宋_GB2312" w:cs="仿宋_GB2312" w:eastAsia="仿宋_GB2312"/>
        </w:rPr>
        <w:t>联系电话：17691239578</w:t>
      </w:r>
    </w:p>
    <w:p>
      <w:pPr>
        <w:pStyle w:val="null3"/>
      </w:pPr>
      <w:r>
        <w:rPr>
          <w:rFonts w:ascii="仿宋_GB2312" w:hAnsi="仿宋_GB2312" w:cs="仿宋_GB2312" w:eastAsia="仿宋_GB2312"/>
        </w:rPr>
        <w:t>地址：陕西省西安市雁塔区小寨西路皇家公馆英俊楼2213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本项目拟对三原县2025年通村联网（第三批）和建制村通双车道工程监理服务采购。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369,009.46</w:t>
      </w:r>
    </w:p>
    <w:p>
      <w:pPr>
        <w:pStyle w:val="null3"/>
      </w:pPr>
      <w:r>
        <w:rPr>
          <w:rFonts w:ascii="仿宋_GB2312" w:hAnsi="仿宋_GB2312" w:cs="仿宋_GB2312" w:eastAsia="仿宋_GB2312"/>
        </w:rPr>
        <w:t>采购包最高限价（元）: 369,009.46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369,009.46</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一、项目概况</w:t>
            </w:r>
          </w:p>
          <w:p>
            <w:pPr>
              <w:pStyle w:val="null3"/>
              <w:ind w:firstLine="480"/>
            </w:pPr>
            <w:r>
              <w:rPr>
                <w:rFonts w:ascii="仿宋_GB2312" w:hAnsi="仿宋_GB2312" w:cs="仿宋_GB2312" w:eastAsia="仿宋_GB2312"/>
              </w:rPr>
              <w:t>202</w:t>
            </w:r>
            <w:r>
              <w:rPr>
                <w:rFonts w:ascii="仿宋_GB2312" w:hAnsi="仿宋_GB2312" w:cs="仿宋_GB2312" w:eastAsia="仿宋_GB2312"/>
              </w:rPr>
              <w:t>5</w:t>
            </w:r>
            <w:r>
              <w:rPr>
                <w:rFonts w:ascii="仿宋_GB2312" w:hAnsi="仿宋_GB2312" w:cs="仿宋_GB2312" w:eastAsia="仿宋_GB2312"/>
              </w:rPr>
              <w:t>年下达我县</w:t>
            </w:r>
            <w:r>
              <w:rPr>
                <w:rFonts w:ascii="仿宋_GB2312" w:hAnsi="仿宋_GB2312" w:cs="仿宋_GB2312" w:eastAsia="仿宋_GB2312"/>
              </w:rPr>
              <w:t>联网路</w:t>
            </w:r>
            <w:r>
              <w:rPr>
                <w:rFonts w:ascii="仿宋_GB2312" w:hAnsi="仿宋_GB2312" w:cs="仿宋_GB2312" w:eastAsia="仿宋_GB2312"/>
              </w:rPr>
              <w:t>和</w:t>
            </w:r>
            <w:r>
              <w:rPr>
                <w:rFonts w:ascii="仿宋_GB2312" w:hAnsi="仿宋_GB2312" w:cs="仿宋_GB2312" w:eastAsia="仿宋_GB2312"/>
              </w:rPr>
              <w:t>建制村双车道工程</w:t>
            </w:r>
            <w:r>
              <w:rPr>
                <w:rFonts w:ascii="仿宋_GB2312" w:hAnsi="仿宋_GB2312" w:cs="仿宋_GB2312" w:eastAsia="仿宋_GB2312"/>
              </w:rPr>
              <w:t>第</w:t>
            </w:r>
            <w:r>
              <w:rPr>
                <w:rFonts w:ascii="仿宋_GB2312" w:hAnsi="仿宋_GB2312" w:cs="仿宋_GB2312" w:eastAsia="仿宋_GB2312"/>
              </w:rPr>
              <w:t>三</w:t>
            </w:r>
            <w:r>
              <w:rPr>
                <w:rFonts w:ascii="仿宋_GB2312" w:hAnsi="仿宋_GB2312" w:cs="仿宋_GB2312" w:eastAsia="仿宋_GB2312"/>
              </w:rPr>
              <w:t>批共</w:t>
            </w:r>
            <w:r>
              <w:rPr>
                <w:rFonts w:ascii="仿宋_GB2312" w:hAnsi="仿宋_GB2312" w:cs="仿宋_GB2312" w:eastAsia="仿宋_GB2312"/>
              </w:rPr>
              <w:t>16.4</w:t>
            </w:r>
            <w:r>
              <w:rPr>
                <w:rFonts w:ascii="仿宋_GB2312" w:hAnsi="仿宋_GB2312" w:cs="仿宋_GB2312" w:eastAsia="仿宋_GB2312"/>
              </w:rPr>
              <w:t>公里，分别为</w:t>
            </w:r>
            <w:r>
              <w:rPr>
                <w:rFonts w:ascii="仿宋_GB2312" w:hAnsi="仿宋_GB2312" w:cs="仿宋_GB2312" w:eastAsia="仿宋_GB2312"/>
              </w:rPr>
              <w:t>渠岸镇黄毛村</w:t>
            </w:r>
            <w:r>
              <w:rPr>
                <w:rFonts w:ascii="仿宋_GB2312" w:hAnsi="仿宋_GB2312" w:cs="仿宋_GB2312" w:eastAsia="仿宋_GB2312"/>
              </w:rPr>
              <w:t>-董家尧1.517公里</w:t>
            </w:r>
            <w:r>
              <w:rPr>
                <w:rFonts w:ascii="仿宋_GB2312" w:hAnsi="仿宋_GB2312" w:cs="仿宋_GB2312" w:eastAsia="仿宋_GB2312"/>
              </w:rPr>
              <w:t>、</w:t>
            </w:r>
            <w:r>
              <w:rPr>
                <w:rFonts w:ascii="仿宋_GB2312" w:hAnsi="仿宋_GB2312" w:cs="仿宋_GB2312" w:eastAsia="仿宋_GB2312"/>
              </w:rPr>
              <w:t>陵前镇高文村南杨路</w:t>
            </w:r>
            <w:r>
              <w:rPr>
                <w:rFonts w:ascii="仿宋_GB2312" w:hAnsi="仿宋_GB2312" w:cs="仿宋_GB2312" w:eastAsia="仿宋_GB2312"/>
              </w:rPr>
              <w:t>2.161公里</w:t>
            </w:r>
            <w:r>
              <w:rPr>
                <w:rFonts w:ascii="仿宋_GB2312" w:hAnsi="仿宋_GB2312" w:cs="仿宋_GB2312" w:eastAsia="仿宋_GB2312"/>
              </w:rPr>
              <w:t>、</w:t>
            </w:r>
            <w:r>
              <w:rPr>
                <w:rFonts w:ascii="仿宋_GB2312" w:hAnsi="仿宋_GB2312" w:cs="仿宋_GB2312" w:eastAsia="仿宋_GB2312"/>
              </w:rPr>
              <w:t>陂西桥北组至海石</w:t>
            </w:r>
            <w:r>
              <w:rPr>
                <w:rFonts w:ascii="仿宋_GB2312" w:hAnsi="仿宋_GB2312" w:cs="仿宋_GB2312" w:eastAsia="仿宋_GB2312"/>
              </w:rPr>
              <w:t>1.813公里</w:t>
            </w:r>
            <w:r>
              <w:rPr>
                <w:rFonts w:ascii="仿宋_GB2312" w:hAnsi="仿宋_GB2312" w:cs="仿宋_GB2312" w:eastAsia="仿宋_GB2312"/>
              </w:rPr>
              <w:t>、</w:t>
            </w:r>
            <w:r>
              <w:rPr>
                <w:rFonts w:ascii="仿宋_GB2312" w:hAnsi="仿宋_GB2312" w:cs="仿宋_GB2312" w:eastAsia="仿宋_GB2312"/>
              </w:rPr>
              <w:t>陂西村至东贾</w:t>
            </w:r>
            <w:r>
              <w:rPr>
                <w:rFonts w:ascii="仿宋_GB2312" w:hAnsi="仿宋_GB2312" w:cs="仿宋_GB2312" w:eastAsia="仿宋_GB2312"/>
              </w:rPr>
              <w:t>1.9公里、陵前三店至东三店1.077公里、陂西三陂路-杨家庄0.466公里、鲁桥吴家道-尚家、1.07公里、鲁桥楼底二组至新庄子0.567公里、新兴潘家至郝家0.685公里、陂西街至郭至徐家窑2.451公里、陂西学杨至庙南1.514公里、陂西梁家至西肖1.162公里</w:t>
            </w:r>
            <w:r>
              <w:rPr>
                <w:rFonts w:ascii="仿宋_GB2312" w:hAnsi="仿宋_GB2312" w:cs="仿宋_GB2312" w:eastAsia="仿宋_GB2312"/>
              </w:rPr>
              <w:t>，目前该项目已完成施工图设计及预算批复，正在组织进行施工招标工作。现拟对该项目监理服务进行采购，履行质量、工期、安全及投资控制监督工作。</w:t>
            </w:r>
            <w:r>
              <w:rPr>
                <w:rFonts w:ascii="仿宋_GB2312" w:hAnsi="仿宋_GB2312" w:cs="仿宋_GB2312" w:eastAsia="仿宋_GB2312"/>
              </w:rPr>
              <w:t>。</w:t>
            </w:r>
          </w:p>
          <w:p>
            <w:pPr>
              <w:pStyle w:val="null3"/>
              <w:ind w:firstLine="480"/>
            </w:pPr>
            <w:r>
              <w:rPr>
                <w:rFonts w:ascii="仿宋_GB2312" w:hAnsi="仿宋_GB2312" w:cs="仿宋_GB2312" w:eastAsia="仿宋_GB2312"/>
              </w:rPr>
              <w:t>二、服务内容</w:t>
            </w:r>
          </w:p>
          <w:p>
            <w:pPr>
              <w:pStyle w:val="null3"/>
              <w:ind w:firstLine="480"/>
            </w:pPr>
            <w:r>
              <w:rPr>
                <w:rFonts w:ascii="仿宋_GB2312" w:hAnsi="仿宋_GB2312" w:cs="仿宋_GB2312" w:eastAsia="仿宋_GB2312"/>
              </w:rPr>
              <w:t>三原县</w:t>
            </w:r>
            <w:r>
              <w:rPr>
                <w:rFonts w:ascii="仿宋_GB2312" w:hAnsi="仿宋_GB2312" w:cs="仿宋_GB2312" w:eastAsia="仿宋_GB2312"/>
              </w:rPr>
              <w:t>2025年通村联网（第三批）和建制村通双车道工程</w:t>
            </w:r>
            <w:r>
              <w:rPr>
                <w:rFonts w:ascii="仿宋_GB2312" w:hAnsi="仿宋_GB2312" w:cs="仿宋_GB2312" w:eastAsia="仿宋_GB2312"/>
              </w:rPr>
              <w:t>监理服务</w:t>
            </w:r>
          </w:p>
          <w:p>
            <w:pPr>
              <w:pStyle w:val="null3"/>
            </w:pPr>
            <w:r>
              <w:rPr>
                <w:rFonts w:ascii="仿宋_GB2312" w:hAnsi="仿宋_GB2312" w:cs="仿宋_GB2312" w:eastAsia="仿宋_GB2312"/>
              </w:rPr>
              <w:t>三、技术要求</w:t>
            </w:r>
          </w:p>
          <w:p>
            <w:pPr>
              <w:pStyle w:val="null3"/>
              <w:ind w:firstLine="480"/>
            </w:pPr>
            <w:r>
              <w:rPr>
                <w:rFonts w:ascii="仿宋_GB2312" w:hAnsi="仿宋_GB2312" w:cs="仿宋_GB2312" w:eastAsia="仿宋_GB2312"/>
              </w:rPr>
              <w:t>(1)国家标准、规范；</w:t>
            </w:r>
          </w:p>
          <w:p>
            <w:pPr>
              <w:pStyle w:val="null3"/>
              <w:ind w:firstLine="480"/>
            </w:pPr>
            <w:r>
              <w:rPr>
                <w:rFonts w:ascii="仿宋_GB2312" w:hAnsi="仿宋_GB2312" w:cs="仿宋_GB2312" w:eastAsia="仿宋_GB2312"/>
              </w:rPr>
              <w:t>(2)行业标准、规范；</w:t>
            </w:r>
          </w:p>
          <w:p>
            <w:pPr>
              <w:pStyle w:val="null3"/>
              <w:ind w:firstLine="480"/>
            </w:pPr>
            <w:r>
              <w:rPr>
                <w:rFonts w:ascii="仿宋_GB2312" w:hAnsi="仿宋_GB2312" w:cs="仿宋_GB2312" w:eastAsia="仿宋_GB2312"/>
              </w:rPr>
              <w:t>(3)地方标准、规范；</w:t>
            </w:r>
          </w:p>
          <w:p>
            <w:pPr>
              <w:pStyle w:val="null3"/>
              <w:ind w:firstLine="480"/>
            </w:pPr>
            <w:r>
              <w:rPr>
                <w:rFonts w:ascii="仿宋_GB2312" w:hAnsi="仿宋_GB2312" w:cs="仿宋_GB2312" w:eastAsia="仿宋_GB2312"/>
              </w:rPr>
              <w:t>(4)企业标准、规范。</w:t>
            </w:r>
          </w:p>
          <w:p>
            <w:pPr>
              <w:pStyle w:val="null3"/>
            </w:pPr>
            <w:r>
              <w:rPr>
                <w:rFonts w:ascii="仿宋_GB2312" w:hAnsi="仿宋_GB2312" w:cs="仿宋_GB2312" w:eastAsia="仿宋_GB2312"/>
              </w:rPr>
              <w:t>四、服务要求</w:t>
            </w:r>
          </w:p>
          <w:p>
            <w:pPr>
              <w:pStyle w:val="null3"/>
              <w:ind w:firstLine="480"/>
            </w:pPr>
            <w:r>
              <w:rPr>
                <w:rFonts w:ascii="仿宋_GB2312" w:hAnsi="仿宋_GB2312" w:cs="仿宋_GB2312" w:eastAsia="仿宋_GB2312"/>
              </w:rPr>
              <w:t>服务标准：符合《建设工程监理规范》</w:t>
            </w:r>
            <w:r>
              <w:rPr>
                <w:rFonts w:ascii="仿宋_GB2312" w:hAnsi="仿宋_GB2312" w:cs="仿宋_GB2312" w:eastAsia="仿宋_GB2312"/>
              </w:rPr>
              <w:t>(GB 50319-2013)</w:t>
            </w:r>
          </w:p>
          <w:p>
            <w:pPr>
              <w:pStyle w:val="null3"/>
              <w:ind w:firstLine="480"/>
            </w:pPr>
            <w:r>
              <w:rPr>
                <w:rFonts w:ascii="仿宋_GB2312" w:hAnsi="仿宋_GB2312" w:cs="仿宋_GB2312" w:eastAsia="仿宋_GB2312"/>
              </w:rPr>
              <w:t>五、商务要求</w:t>
            </w:r>
          </w:p>
          <w:p>
            <w:pPr>
              <w:pStyle w:val="null3"/>
              <w:ind w:firstLine="480"/>
            </w:pPr>
            <w:r>
              <w:rPr>
                <w:rFonts w:ascii="仿宋_GB2312" w:hAnsi="仿宋_GB2312" w:cs="仿宋_GB2312" w:eastAsia="仿宋_GB2312"/>
              </w:rPr>
              <w:t>服务期限：</w:t>
            </w:r>
            <w:r>
              <w:rPr>
                <w:rFonts w:ascii="仿宋_GB2312" w:hAnsi="仿宋_GB2312" w:cs="仿宋_GB2312" w:eastAsia="仿宋_GB2312"/>
              </w:rPr>
              <w:t>90日历</w:t>
            </w:r>
            <w:r>
              <w:rPr>
                <w:rFonts w:ascii="仿宋_GB2312" w:hAnsi="仿宋_GB2312" w:cs="仿宋_GB2312" w:eastAsia="仿宋_GB2312"/>
              </w:rPr>
              <w:t>天</w:t>
            </w:r>
          </w:p>
          <w:p>
            <w:pPr>
              <w:pStyle w:val="null3"/>
              <w:ind w:firstLine="480"/>
            </w:pPr>
            <w:r>
              <w:rPr>
                <w:rFonts w:ascii="仿宋_GB2312" w:hAnsi="仿宋_GB2312" w:cs="仿宋_GB2312" w:eastAsia="仿宋_GB2312"/>
              </w:rPr>
              <w:t>款项结算：</w:t>
            </w:r>
            <w:r>
              <w:rPr>
                <w:rFonts w:ascii="仿宋_GB2312" w:hAnsi="仿宋_GB2312" w:cs="仿宋_GB2312" w:eastAsia="仿宋_GB2312"/>
              </w:rPr>
              <w:t>按照合同签订后</w:t>
            </w:r>
            <w:r>
              <w:rPr>
                <w:rFonts w:ascii="仿宋_GB2312" w:hAnsi="仿宋_GB2312" w:cs="仿宋_GB2312" w:eastAsia="仿宋_GB2312"/>
              </w:rPr>
              <w:t>10日内，甲方向乙方支付合同总费用的40%；</w:t>
            </w:r>
            <w:r>
              <w:rPr>
                <w:rFonts w:ascii="仿宋_GB2312" w:hAnsi="仿宋_GB2312" w:cs="仿宋_GB2312" w:eastAsia="仿宋_GB2312"/>
              </w:rPr>
              <w:t>工程施工期间至工程完工时</w:t>
            </w:r>
            <w:r>
              <w:rPr>
                <w:rFonts w:ascii="仿宋_GB2312" w:hAnsi="仿宋_GB2312" w:cs="仿宋_GB2312" w:eastAsia="仿宋_GB2312"/>
              </w:rPr>
              <w:t>甲方向乙方支付合同总费用的</w:t>
            </w:r>
            <w:r>
              <w:rPr>
                <w:rFonts w:ascii="仿宋_GB2312" w:hAnsi="仿宋_GB2312" w:cs="仿宋_GB2312" w:eastAsia="仿宋_GB2312"/>
              </w:rPr>
              <w:t>50</w:t>
            </w:r>
            <w:r>
              <w:rPr>
                <w:rFonts w:ascii="仿宋_GB2312" w:hAnsi="仿宋_GB2312" w:cs="仿宋_GB2312" w:eastAsia="仿宋_GB2312"/>
              </w:rPr>
              <w:t>％；经甲方对该项目组织验收并达到合格（符合国家、行业的标准和有关规定）后，甲方向乙方支付剩余合同总</w:t>
            </w:r>
            <w:r>
              <w:rPr>
                <w:rFonts w:ascii="仿宋_GB2312" w:hAnsi="仿宋_GB2312" w:cs="仿宋_GB2312" w:eastAsia="仿宋_GB2312"/>
              </w:rPr>
              <w:t>费用</w:t>
            </w:r>
            <w:r>
              <w:rPr>
                <w:rFonts w:ascii="仿宋_GB2312" w:hAnsi="仿宋_GB2312" w:cs="仿宋_GB2312" w:eastAsia="仿宋_GB2312"/>
              </w:rPr>
              <w:t>的</w:t>
            </w:r>
            <w:r>
              <w:rPr>
                <w:rFonts w:ascii="仿宋_GB2312" w:hAnsi="仿宋_GB2312" w:cs="仿宋_GB2312" w:eastAsia="仿宋_GB2312"/>
              </w:rPr>
              <w:t>10</w:t>
            </w:r>
            <w:r>
              <w:rPr>
                <w:rFonts w:ascii="仿宋_GB2312" w:hAnsi="仿宋_GB2312" w:cs="仿宋_GB2312" w:eastAsia="仿宋_GB2312"/>
              </w:rPr>
              <w:t>%</w:t>
            </w:r>
            <w:r>
              <w:rPr>
                <w:rFonts w:ascii="仿宋_GB2312" w:hAnsi="仿宋_GB2312" w:cs="仿宋_GB2312" w:eastAsia="仿宋_GB2312"/>
              </w:rPr>
              <w:t>。</w:t>
            </w:r>
          </w:p>
          <w:p>
            <w:pPr>
              <w:pStyle w:val="null3"/>
              <w:ind w:firstLine="480"/>
            </w:pPr>
            <w:r>
              <w:rPr>
                <w:rFonts w:ascii="仿宋_GB2312" w:hAnsi="仿宋_GB2312" w:cs="仿宋_GB2312" w:eastAsia="仿宋_GB2312"/>
              </w:rPr>
              <w:t>六、其他</w:t>
            </w:r>
          </w:p>
          <w:p>
            <w:pPr>
              <w:pStyle w:val="null3"/>
              <w:ind w:firstLine="480"/>
            </w:pPr>
            <w:r>
              <w:rPr>
                <w:rFonts w:ascii="仿宋_GB2312" w:hAnsi="仿宋_GB2312" w:cs="仿宋_GB2312" w:eastAsia="仿宋_GB2312"/>
              </w:rPr>
              <w:t>(一)</w:t>
            </w:r>
            <w:r>
              <w:rPr>
                <w:rFonts w:ascii="仿宋_GB2312" w:hAnsi="仿宋_GB2312" w:cs="仿宋_GB2312" w:eastAsia="仿宋_GB2312"/>
              </w:rPr>
              <w:t>质量验收标准或规范</w:t>
            </w:r>
          </w:p>
          <w:p>
            <w:pPr>
              <w:pStyle w:val="null3"/>
              <w:ind w:firstLine="480"/>
            </w:pPr>
            <w:r>
              <w:rPr>
                <w:rFonts w:ascii="仿宋_GB2312" w:hAnsi="仿宋_GB2312" w:cs="仿宋_GB2312" w:eastAsia="仿宋_GB2312"/>
              </w:rPr>
              <w:t>合格（符合国家、行业的标准和有关规定）</w:t>
            </w:r>
          </w:p>
          <w:p>
            <w:pPr>
              <w:pStyle w:val="null3"/>
              <w:ind w:firstLine="480"/>
            </w:pPr>
            <w:r>
              <w:rPr>
                <w:rFonts w:ascii="仿宋_GB2312" w:hAnsi="仿宋_GB2312" w:cs="仿宋_GB2312" w:eastAsia="仿宋_GB2312"/>
              </w:rPr>
              <w:t>(二)</w:t>
            </w:r>
            <w:r>
              <w:rPr>
                <w:rFonts w:ascii="仿宋_GB2312" w:hAnsi="仿宋_GB2312" w:cs="仿宋_GB2312" w:eastAsia="仿宋_GB2312"/>
              </w:rPr>
              <w:t>违约责任</w:t>
            </w:r>
          </w:p>
          <w:p>
            <w:pPr>
              <w:pStyle w:val="null3"/>
              <w:ind w:firstLine="400"/>
            </w:pPr>
            <w:r>
              <w:rPr>
                <w:rFonts w:ascii="仿宋_GB2312" w:hAnsi="仿宋_GB2312" w:cs="仿宋_GB2312" w:eastAsia="仿宋_GB2312"/>
              </w:rPr>
              <w:t>违约责任</w:t>
            </w:r>
            <w:r>
              <w:rPr>
                <w:rFonts w:ascii="仿宋_GB2312" w:hAnsi="仿宋_GB2312" w:cs="仿宋_GB2312" w:eastAsia="仿宋_GB2312"/>
              </w:rPr>
              <w:t>:按照合同约定违约责任条款履行；解决争议的方法：协商、仲裁、诉讼。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项目团队人员不少于4人，具有公路工程相关专业高级工程师不少于1人，并且提供在本单位缴纳社保证明。</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质量标准及技术要求：合格（符合国家、行业的标准和有关规定）。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经甲方对该项目组织验收并达到合格（符合国家、行业的标准和有关规定）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按照合同签订后10日内，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工程施工期间至工程完工时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经甲方对该项目组织验收并达到合格（符合国家、行业的标准和有关规定）后，甲方向乙方支付剩余合同总费用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按照合同约定违约责任条款履行；解决争议的方法：协商、仲裁、诉讼。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2.本项目为专门面向中小企业； 3.本项目所属行业为其他未列明行业；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具备建设行政主管部门颁发的工程监理综合类资质或公路工程监理乙级（含乙级）以上资质，并在人员、设备、资金等方面具备相应的能力。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供应商拟派项目总监理工程师须具备公路工程专业国家注册监理工程师资格，且在本单位注册。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2024度的财务审计报告（成立时间至提交投标响应文件截止时间不足一年的可提供成立后任意时段的资产负债表），或其投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承诺声明</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法定代表人授权委托书或法定代表人身份证明</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creditahina.gor.n)中列入失信被执行人、重大税收违法失信主体名单，不得为“中国政府采购网”(https://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服务方案说明.docx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响应文件上法定代表人或其委托代理人的签名齐全并加盖单位章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磋商有效期是否符合竞争性磋商文件的要求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监理大纲1</w:t>
            </w:r>
          </w:p>
        </w:tc>
        <w:tc>
          <w:tcPr>
            <w:tcW w:type="dxa" w:w="2492"/>
          </w:tcPr>
          <w:p>
            <w:pPr>
              <w:pStyle w:val="null3"/>
            </w:pPr>
            <w:r>
              <w:rPr>
                <w:rFonts w:ascii="仿宋_GB2312" w:hAnsi="仿宋_GB2312" w:cs="仿宋_GB2312" w:eastAsia="仿宋_GB2312"/>
              </w:rPr>
              <w:t>监理工作目标明确、工作程序和工作制度齐全计10分，监理工作目标较明确、工作程序和工作制度较齐全计7分；监理工作目标不明确、工作程序和工作制度不健全计4分；不提供不得分。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监理大纲2</w:t>
            </w:r>
          </w:p>
        </w:tc>
        <w:tc>
          <w:tcPr>
            <w:tcW w:type="dxa" w:w="2492"/>
          </w:tcPr>
          <w:p>
            <w:pPr>
              <w:pStyle w:val="null3"/>
            </w:pPr>
            <w:r>
              <w:rPr>
                <w:rFonts w:ascii="仿宋_GB2312" w:hAnsi="仿宋_GB2312" w:cs="仿宋_GB2312" w:eastAsia="仿宋_GB2312"/>
              </w:rPr>
              <w:t>项目监理机构组织完善、合理计10分，项目监理机构组织较完善、较合理计7分，项目监理机构组织不完善、不合理计4分；不提供不得分。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监理大纲3</w:t>
            </w:r>
          </w:p>
        </w:tc>
        <w:tc>
          <w:tcPr>
            <w:tcW w:type="dxa" w:w="2492"/>
          </w:tcPr>
          <w:p>
            <w:pPr>
              <w:pStyle w:val="null3"/>
            </w:pPr>
            <w:r>
              <w:rPr>
                <w:rFonts w:ascii="仿宋_GB2312" w:hAnsi="仿宋_GB2312" w:cs="仿宋_GB2312" w:eastAsia="仿宋_GB2312"/>
              </w:rPr>
              <w:t>安全防护控制措施、环境保护、文明施工控制措施完善、合理、可行计10分，较完善、较合理计7分，措施一般、可行性较差计4分；不提供不得分。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监理大纲4</w:t>
            </w:r>
          </w:p>
        </w:tc>
        <w:tc>
          <w:tcPr>
            <w:tcW w:type="dxa" w:w="2492"/>
          </w:tcPr>
          <w:p>
            <w:pPr>
              <w:pStyle w:val="null3"/>
            </w:pPr>
            <w:r>
              <w:rPr>
                <w:rFonts w:ascii="仿宋_GB2312" w:hAnsi="仿宋_GB2312" w:cs="仿宋_GB2312" w:eastAsia="仿宋_GB2312"/>
              </w:rPr>
              <w:t>合同管理、信息管理措施的全面合理性，科学合理计10分，较科学合理计7分，一般科学合理计4分；不提供不得分。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监理大纲5</w:t>
            </w:r>
          </w:p>
        </w:tc>
        <w:tc>
          <w:tcPr>
            <w:tcW w:type="dxa" w:w="2492"/>
          </w:tcPr>
          <w:p>
            <w:pPr>
              <w:pStyle w:val="null3"/>
            </w:pPr>
            <w:r>
              <w:rPr>
                <w:rFonts w:ascii="仿宋_GB2312" w:hAnsi="仿宋_GB2312" w:cs="仿宋_GB2312" w:eastAsia="仿宋_GB2312"/>
              </w:rPr>
              <w:t>施工中各种矛盾组织协调及保修阶段的服务工作的保修阶段监理服务工作计划，根据矛盾分析、化解措施及保修阶段监理服务计划的完整性计10分，较完整计7分，一般完整计4分；不提供不得分。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监理大纲6</w:t>
            </w:r>
          </w:p>
        </w:tc>
        <w:tc>
          <w:tcPr>
            <w:tcW w:type="dxa" w:w="2492"/>
          </w:tcPr>
          <w:p>
            <w:pPr>
              <w:pStyle w:val="null3"/>
            </w:pPr>
            <w:r>
              <w:rPr>
                <w:rFonts w:ascii="仿宋_GB2312" w:hAnsi="仿宋_GB2312" w:cs="仿宋_GB2312" w:eastAsia="仿宋_GB2312"/>
              </w:rPr>
              <w:t>质量、安全、进度控制管理措施完善、合理、可行计10分，较完善、较合理、可行计7分，一般完善、科学合理计4分；不提供不得分。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监理大纲7</w:t>
            </w:r>
          </w:p>
        </w:tc>
        <w:tc>
          <w:tcPr>
            <w:tcW w:type="dxa" w:w="2492"/>
          </w:tcPr>
          <w:p>
            <w:pPr>
              <w:pStyle w:val="null3"/>
            </w:pPr>
            <w:r>
              <w:rPr>
                <w:rFonts w:ascii="仿宋_GB2312" w:hAnsi="仿宋_GB2312" w:cs="仿宋_GB2312" w:eastAsia="仿宋_GB2312"/>
              </w:rPr>
              <w:t>本工程重点、难点部位的监理措施，重点部位的控制方法和旁站监理部位清单清晰明了计10分，措施、清单较完善合理计7分，措施、清单不清晰，不明了计4分；不提供不得分。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派驻现场的监理主要监理人员配置齐全、人员素质高，计10分；投标人派驻现场的监理主要监理人员配置基本齐全、人员素质一般，计7分；投标人派驻现场的监理主要监理人员配置少、人员素质较差，计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磋商文件内容要求作出相关服务承诺，包括但不限于服务质量承诺、监理服务期限承诺，问题处理时限，现场监理服务质量保证措施等。具有详细服务承诺内容，承诺内容清楚、条理清晰、内容详实具体计5分；具有较详细的服务承诺内容，承诺内容基本清楚、条理清晰、内容较具体计3分；具有服务承诺内容，但承诺内容模糊、条理不明确、内容不详实计1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提供2023年1月1日至今已完成的类似项目业绩，每提供1项得1分，最多得5分。未提供的或所提供资料不符合要求的不得分。评审依据：提供合同的复印件或扫描件加盖公章，时间以合同签订时间为准。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满足采购文件要求且报价最低的响应报价为评审基准价，其价格分为满分。其他供应商的价格分统一按照下列公式计算：报价得分=（评标基准价/响应报价）×价格分值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详见附件：服务方案说明.docx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