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版本号：SYCG-CS-2600620260327001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《三原文史资料汇编（1-5卷）》印刷项目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SYCG-CS-26006</w:t>
      </w:r>
      <w:r>
        <w:br/>
      </w:r>
      <w:r>
        <w:br/>
      </w:r>
      <w:r>
        <w:br/>
      </w:r>
    </w:p>
    <w:p>
      <w:pPr>
        <w:pStyle w:val="null3"/>
        <w:jc w:val="center"/>
        <w:outlineLvl w:val="2"/>
      </w:pPr>
      <w:r>
        <w:rPr>
          <w:rFonts w:ascii="仿宋_GB2312" w:hAnsi="仿宋_GB2312" w:cs="仿宋_GB2312" w:eastAsia="仿宋_GB2312"/>
          <w:sz w:val="28"/>
          <w:b/>
        </w:rPr>
        <w:t>陕西省咸阳市中国人民政治协商会议三原县委员会</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陕西省咸阳市中国人民政治协商会议三原县委员会</w:t>
      </w:r>
      <w:r>
        <w:rPr>
          <w:rFonts w:ascii="仿宋_GB2312" w:hAnsi="仿宋_GB2312" w:cs="仿宋_GB2312" w:eastAsia="仿宋_GB2312"/>
        </w:rPr>
        <w:t>委托，拟对</w:t>
      </w:r>
      <w:r>
        <w:rPr>
          <w:rFonts w:ascii="仿宋_GB2312" w:hAnsi="仿宋_GB2312" w:cs="仿宋_GB2312" w:eastAsia="仿宋_GB2312"/>
        </w:rPr>
        <w:t>《三原文史资料汇编（1-5卷）》印刷项目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《三原文史资料汇编（1-5卷）》印刷项目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本项目是为了更好宣传三原县文史资料，促进三原经济社会发展，较好的发挥文史资料“存史、资政、团结、育人”的社会功能的历史中的重大作用。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采购包1（《三原文史资料汇编（1-5卷）》印刷项目）：属于专门面向中小企业采购。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2、法定代表人授权委托书：法定代表人直接参加投标的，须提供法定代表人身份证明、身份证复印件及原件；法定代表人授权代表参加投标的，须提供法定代表人授权委托书、身份证复印件及原件；</w:t>
      </w:r>
    </w:p>
    <w:p>
      <w:pPr>
        <w:pStyle w:val="null3"/>
      </w:pPr>
      <w:r>
        <w:rPr>
          <w:rFonts w:ascii="仿宋_GB2312" w:hAnsi="仿宋_GB2312" w:cs="仿宋_GB2312" w:eastAsia="仿宋_GB2312"/>
        </w:rPr>
        <w:t>3、财务状况报告：提供2024年度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或财政部门认可的政府采购专业担保机构出具的担保函；</w:t>
      </w:r>
    </w:p>
    <w:p>
      <w:pPr>
        <w:pStyle w:val="null3"/>
      </w:pPr>
      <w:r>
        <w:rPr>
          <w:rFonts w:ascii="仿宋_GB2312" w:hAnsi="仿宋_GB2312" w:cs="仿宋_GB2312" w:eastAsia="仿宋_GB2312"/>
        </w:rPr>
        <w:t>4、税收缴纳证明：提供开标截止时间前半年内至少一个月的纳税证明或完税证明；依法免税的单位应提供相关证明材料；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7、没有重大违法记录的书面声明：参加政府采购活动前3年内在经营活动中没有重大违法记录的书面声明</w:t>
      </w:r>
    </w:p>
    <w:p>
      <w:pPr>
        <w:pStyle w:val="null3"/>
      </w:pPr>
      <w:r>
        <w:rPr>
          <w:rFonts w:ascii="仿宋_GB2312" w:hAnsi="仿宋_GB2312" w:cs="仿宋_GB2312" w:eastAsia="仿宋_GB2312"/>
        </w:rPr>
        <w:t>8、非联合体声明：本项目不接受联合体磋商，单位负责人为同一人或者存在直接控股、管理关系的不同供应商，不得参加同一合同项下的政府采购活动。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9、特定资质：供应商须提供有效期内的《印刷经营许可证》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陕西省咸阳市中国人民政治协商会议三原县委员会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陕西省咸阳市中国人民政治协商会议三原县委员会经办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13571099169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陕西省咸阳市中国人民政治协商会议三原县委员会</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陕西省咸阳市中国人民政治协商会议三原县委员会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陕西省咸阳市中国人民政治协商会议三原县委员会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本项目是为了更好宣传三原县文史资料，促进三原经济社会发展，较好的发挥文史资料“存史、资政、团结、育人”的社会功能的历史中的重大作用。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468,000.00</w:t>
      </w:r>
    </w:p>
    <w:p>
      <w:pPr>
        <w:pStyle w:val="null3"/>
      </w:pPr>
      <w:r>
        <w:rPr>
          <w:rFonts w:ascii="仿宋_GB2312" w:hAnsi="仿宋_GB2312" w:cs="仿宋_GB2312" w:eastAsia="仿宋_GB2312"/>
        </w:rPr>
        <w:t>采购包最高限价（元）: 468,000.00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三原文史资料汇编（1-5卷）印刷项目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标的名称：三原文史资料汇编（1-5卷）印刷项目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本项目为《三原文史资料汇编（</w:t>
            </w:r>
            <w:r>
              <w:rPr>
                <w:rFonts w:ascii="仿宋_GB2312" w:hAnsi="仿宋_GB2312" w:cs="仿宋_GB2312" w:eastAsia="仿宋_GB2312"/>
                <w:sz w:val="24"/>
                <w:color w:val="000000"/>
              </w:rPr>
              <w:t>1-5 卷）》印刷服务，包含</w:t>
            </w:r>
            <w:r>
              <w:rPr>
                <w:rFonts w:ascii="仿宋_GB2312" w:hAnsi="仿宋_GB2312" w:cs="仿宋_GB2312" w:eastAsia="仿宋_GB2312"/>
                <w:sz w:val="24"/>
                <w:color w:val="000000"/>
              </w:rPr>
              <w:t>文稿录入、扫描、编辑校对、规范排版、印刷、装订、函盒制作、成品交付</w:t>
            </w:r>
            <w:r>
              <w:rPr>
                <w:rFonts w:ascii="仿宋_GB2312" w:hAnsi="仿宋_GB2312" w:cs="仿宋_GB2312" w:eastAsia="仿宋_GB2312"/>
                <w:sz w:val="24"/>
                <w:color w:val="000000"/>
              </w:rPr>
              <w:t>等全部工作内容，确保符合国家及行业现行技术规范与验收合格标准。</w:t>
            </w:r>
          </w:p>
          <w:p>
            <w:pPr>
              <w:pStyle w:val="null3"/>
              <w:jc w:val="left"/>
              <w:outlineLvl w:val="1"/>
            </w:pPr>
            <w:r>
              <w:rPr>
                <w:rFonts w:ascii="仿宋_GB2312" w:hAnsi="仿宋_GB2312" w:cs="仿宋_GB2312" w:eastAsia="仿宋_GB2312"/>
                <w:sz w:val="24"/>
                <w:b/>
                <w:color w:val="000000"/>
              </w:rPr>
              <w:t>二、服务内容与技术参数</w:t>
            </w:r>
          </w:p>
          <w:p>
            <w:pPr>
              <w:pStyle w:val="null3"/>
              <w:jc w:val="left"/>
              <w:outlineLvl w:val="2"/>
            </w:pPr>
            <w:r>
              <w:rPr>
                <w:rFonts w:ascii="仿宋_GB2312" w:hAnsi="仿宋_GB2312" w:cs="仿宋_GB2312" w:eastAsia="仿宋_GB2312"/>
                <w:sz w:val="24"/>
                <w:b/>
                <w:color w:val="000000"/>
              </w:rPr>
              <w:t>（一）文稿处理与排版</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完成已出版文史资料</w:t>
            </w:r>
            <w:r>
              <w:rPr>
                <w:rFonts w:ascii="仿宋_GB2312" w:hAnsi="仿宋_GB2312" w:cs="仿宋_GB2312" w:eastAsia="仿宋_GB2312"/>
                <w:sz w:val="24"/>
                <w:color w:val="000000"/>
              </w:rPr>
              <w:t>录入、扫描</w:t>
            </w:r>
            <w:r>
              <w:rPr>
                <w:rFonts w:ascii="仿宋_GB2312" w:hAnsi="仿宋_GB2312" w:cs="仿宋_GB2312" w:eastAsia="仿宋_GB2312"/>
                <w:sz w:val="24"/>
                <w:color w:val="000000"/>
              </w:rPr>
              <w:t>，总页数约</w:t>
            </w:r>
            <w:r>
              <w:rPr>
                <w:rFonts w:ascii="仿宋_GB2312" w:hAnsi="仿宋_GB2312" w:cs="仿宋_GB2312" w:eastAsia="仿宋_GB2312"/>
                <w:sz w:val="24"/>
                <w:color w:val="000000"/>
              </w:rPr>
              <w:t xml:space="preserve">3800 </w:t>
            </w:r>
            <w:r>
              <w:rPr>
                <w:rFonts w:ascii="仿宋_GB2312" w:hAnsi="仿宋_GB2312" w:cs="仿宋_GB2312" w:eastAsia="仿宋_GB2312"/>
                <w:sz w:val="24"/>
                <w:color w:val="000000"/>
              </w:rPr>
              <w:t>页</w:t>
            </w:r>
            <w:r>
              <w:rPr>
                <w:rFonts w:ascii="仿宋_GB2312" w:hAnsi="仿宋_GB2312" w:cs="仿宋_GB2312" w:eastAsia="仿宋_GB2312"/>
                <w:sz w:val="24"/>
                <w:color w:val="000000"/>
              </w:rPr>
              <w:t>。</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文稿编辑、校对、规范排版，</w:t>
            </w:r>
            <w:r>
              <w:rPr>
                <w:rFonts w:ascii="仿宋_GB2312" w:hAnsi="仿宋_GB2312" w:cs="仿宋_GB2312" w:eastAsia="仿宋_GB2312"/>
                <w:sz w:val="24"/>
                <w:color w:val="000000"/>
              </w:rPr>
              <w:t>文字差错率</w:t>
            </w:r>
            <w:r>
              <w:rPr>
                <w:rFonts w:ascii="仿宋_GB2312" w:hAnsi="仿宋_GB2312" w:cs="仿宋_GB2312" w:eastAsia="仿宋_GB2312"/>
                <w:sz w:val="24"/>
                <w:color w:val="000000"/>
              </w:rPr>
              <w:t>≤</w:t>
            </w:r>
            <w:r>
              <w:rPr>
                <w:rFonts w:ascii="仿宋_GB2312" w:hAnsi="仿宋_GB2312" w:cs="仿宋_GB2312" w:eastAsia="仿宋_GB2312"/>
                <w:sz w:val="24"/>
                <w:color w:val="000000"/>
              </w:rPr>
              <w:t>万分之二</w:t>
            </w:r>
            <w:r>
              <w:rPr>
                <w:rFonts w:ascii="仿宋_GB2312" w:hAnsi="仿宋_GB2312" w:cs="仿宋_GB2312" w:eastAsia="仿宋_GB2312"/>
                <w:sz w:val="24"/>
                <w:color w:val="000000"/>
              </w:rPr>
              <w:t>，符合图书出版质量要求。</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排版格式统一、页码连续、目录清晰、版式美观，满足阅读与典藏需求。</w:t>
            </w:r>
          </w:p>
          <w:p>
            <w:pPr>
              <w:pStyle w:val="null3"/>
              <w:jc w:val="left"/>
              <w:outlineLvl w:val="2"/>
            </w:pPr>
            <w:r>
              <w:rPr>
                <w:rFonts w:ascii="仿宋_GB2312" w:hAnsi="仿宋_GB2312" w:cs="仿宋_GB2312" w:eastAsia="仿宋_GB2312"/>
                <w:sz w:val="24"/>
                <w:b/>
                <w:color w:val="000000"/>
              </w:rPr>
              <w:t>（二）成品规格</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开本：</w:t>
            </w:r>
            <w:r>
              <w:rPr>
                <w:rFonts w:ascii="仿宋_GB2312" w:hAnsi="仿宋_GB2312" w:cs="仿宋_GB2312" w:eastAsia="仿宋_GB2312"/>
                <w:sz w:val="24"/>
                <w:color w:val="000000"/>
              </w:rPr>
              <w:t xml:space="preserve">16 </w:t>
            </w:r>
            <w:r>
              <w:rPr>
                <w:rFonts w:ascii="仿宋_GB2312" w:hAnsi="仿宋_GB2312" w:cs="仿宋_GB2312" w:eastAsia="仿宋_GB2312"/>
                <w:sz w:val="24"/>
                <w:color w:val="000000"/>
              </w:rPr>
              <w:t>开</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成品尺寸：</w:t>
            </w:r>
            <w:r>
              <w:rPr>
                <w:rFonts w:ascii="仿宋_GB2312" w:hAnsi="仿宋_GB2312" w:cs="仿宋_GB2312" w:eastAsia="仿宋_GB2312"/>
                <w:sz w:val="24"/>
                <w:color w:val="000000"/>
              </w:rPr>
              <w:t>185mm×260mm</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 xml:space="preserve"> GB/T 788</w:t>
            </w:r>
            <w:r>
              <w:rPr>
                <w:rFonts w:ascii="仿宋_GB2312" w:hAnsi="仿宋_GB2312" w:cs="仿宋_GB2312" w:eastAsia="仿宋_GB2312"/>
                <w:sz w:val="24"/>
                <w:color w:val="000000"/>
              </w:rPr>
              <w:t>）</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卷册：内文约</w:t>
            </w:r>
            <w:r>
              <w:rPr>
                <w:rFonts w:ascii="仿宋_GB2312" w:hAnsi="仿宋_GB2312" w:cs="仿宋_GB2312" w:eastAsia="仿宋_GB2312"/>
                <w:sz w:val="24"/>
                <w:color w:val="000000"/>
              </w:rPr>
              <w:t xml:space="preserve"> 3800 </w:t>
            </w:r>
            <w:r>
              <w:rPr>
                <w:rFonts w:ascii="仿宋_GB2312" w:hAnsi="仿宋_GB2312" w:cs="仿宋_GB2312" w:eastAsia="仿宋_GB2312"/>
                <w:sz w:val="24"/>
                <w:color w:val="000000"/>
              </w:rPr>
              <w:t>页，</w:t>
            </w:r>
            <w:r>
              <w:rPr>
                <w:rFonts w:ascii="仿宋_GB2312" w:hAnsi="仿宋_GB2312" w:cs="仿宋_GB2312" w:eastAsia="仿宋_GB2312"/>
                <w:sz w:val="24"/>
                <w:color w:val="000000"/>
              </w:rPr>
              <w:t>分</w:t>
            </w:r>
            <w:r>
              <w:rPr>
                <w:rFonts w:ascii="仿宋_GB2312" w:hAnsi="仿宋_GB2312" w:cs="仿宋_GB2312" w:eastAsia="仿宋_GB2312"/>
                <w:sz w:val="24"/>
                <w:color w:val="000000"/>
              </w:rPr>
              <w:t xml:space="preserve"> 5 </w:t>
            </w:r>
            <w:r>
              <w:rPr>
                <w:rFonts w:ascii="仿宋_GB2312" w:hAnsi="仿宋_GB2312" w:cs="仿宋_GB2312" w:eastAsia="仿宋_GB2312"/>
                <w:sz w:val="24"/>
                <w:color w:val="000000"/>
              </w:rPr>
              <w:t>卷装订</w:t>
            </w:r>
          </w:p>
          <w:p>
            <w:pPr>
              <w:pStyle w:val="null3"/>
              <w:jc w:val="left"/>
              <w:outlineLvl w:val="2"/>
            </w:pPr>
            <w:r>
              <w:rPr>
                <w:rFonts w:ascii="仿宋_GB2312" w:hAnsi="仿宋_GB2312" w:cs="仿宋_GB2312" w:eastAsia="仿宋_GB2312"/>
                <w:sz w:val="24"/>
                <w:b/>
                <w:color w:val="000000"/>
              </w:rPr>
              <w:t>（三）纸张、印刷与工艺</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内文</w:t>
            </w:r>
          </w:p>
          <w:p>
            <w:pPr>
              <w:pStyle w:val="null3"/>
              <w:ind w:left="-360" w:firstLine="480"/>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用纸：</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 xml:space="preserve"> 70g </w:t>
            </w:r>
            <w:r>
              <w:rPr>
                <w:rFonts w:ascii="仿宋_GB2312" w:hAnsi="仿宋_GB2312" w:cs="仿宋_GB2312" w:eastAsia="仿宋_GB2312"/>
                <w:sz w:val="24"/>
                <w:color w:val="000000"/>
              </w:rPr>
              <w:t>本白胶版纸</w:t>
            </w:r>
          </w:p>
          <w:p>
            <w:pPr>
              <w:pStyle w:val="null3"/>
              <w:ind w:left="-360" w:firstLine="480"/>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印刷：</w:t>
            </w:r>
            <w:r>
              <w:rPr>
                <w:rFonts w:ascii="仿宋_GB2312" w:hAnsi="仿宋_GB2312" w:cs="仿宋_GB2312" w:eastAsia="仿宋_GB2312"/>
                <w:sz w:val="24"/>
                <w:color w:val="000000"/>
              </w:rPr>
              <w:t>单色印刷</w:t>
            </w:r>
            <w:r>
              <w:rPr>
                <w:rFonts w:ascii="仿宋_GB2312" w:hAnsi="仿宋_GB2312" w:cs="仿宋_GB2312" w:eastAsia="仿宋_GB2312"/>
                <w:sz w:val="24"/>
                <w:color w:val="000000"/>
              </w:rPr>
              <w:t>，墨色均匀、无重影、无脏点、无透印</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彩插</w:t>
            </w:r>
          </w:p>
          <w:p>
            <w:pPr>
              <w:pStyle w:val="null3"/>
              <w:ind w:left="-360" w:firstLine="480"/>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卷内</w:t>
            </w:r>
            <w:r>
              <w:rPr>
                <w:rFonts w:ascii="仿宋_GB2312" w:hAnsi="仿宋_GB2312" w:cs="仿宋_GB2312" w:eastAsia="仿宋_GB2312"/>
                <w:sz w:val="24"/>
                <w:color w:val="000000"/>
              </w:rPr>
              <w:t>插入约</w:t>
            </w:r>
            <w:r>
              <w:rPr>
                <w:rFonts w:ascii="仿宋_GB2312" w:hAnsi="仿宋_GB2312" w:cs="仿宋_GB2312" w:eastAsia="仿宋_GB2312"/>
                <w:sz w:val="24"/>
                <w:color w:val="000000"/>
              </w:rPr>
              <w:t xml:space="preserve"> 30 </w:t>
            </w:r>
            <w:r>
              <w:rPr>
                <w:rFonts w:ascii="仿宋_GB2312" w:hAnsi="仿宋_GB2312" w:cs="仿宋_GB2312" w:eastAsia="仿宋_GB2312"/>
                <w:sz w:val="24"/>
                <w:color w:val="000000"/>
              </w:rPr>
              <w:t>张彩图</w:t>
            </w:r>
          </w:p>
          <w:p>
            <w:pPr>
              <w:pStyle w:val="null3"/>
              <w:ind w:left="-360" w:firstLine="480"/>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用纸：</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 xml:space="preserve"> 128g </w:t>
            </w:r>
            <w:r>
              <w:rPr>
                <w:rFonts w:ascii="仿宋_GB2312" w:hAnsi="仿宋_GB2312" w:cs="仿宋_GB2312" w:eastAsia="仿宋_GB2312"/>
                <w:sz w:val="24"/>
                <w:color w:val="000000"/>
              </w:rPr>
              <w:t>铜版纸</w:t>
            </w:r>
          </w:p>
          <w:p>
            <w:pPr>
              <w:pStyle w:val="null3"/>
              <w:ind w:left="-360" w:firstLine="480"/>
              <w:jc w:val="left"/>
            </w:pPr>
            <w:r>
              <w:rPr>
                <w:rFonts w:ascii="仿宋_GB2312" w:hAnsi="仿宋_GB2312" w:cs="仿宋_GB2312" w:eastAsia="仿宋_GB2312"/>
                <w:sz w:val="24"/>
                <w:color w:val="000000"/>
              </w:rPr>
              <w:t>2.3</w:t>
            </w:r>
            <w:r>
              <w:rPr>
                <w:rFonts w:ascii="仿宋_GB2312" w:hAnsi="仿宋_GB2312" w:cs="仿宋_GB2312" w:eastAsia="仿宋_GB2312"/>
                <w:sz w:val="24"/>
                <w:color w:val="000000"/>
              </w:rPr>
              <w:t>印刷：</w:t>
            </w:r>
            <w:r>
              <w:rPr>
                <w:rFonts w:ascii="仿宋_GB2312" w:hAnsi="仿宋_GB2312" w:cs="仿宋_GB2312" w:eastAsia="仿宋_GB2312"/>
                <w:sz w:val="24"/>
                <w:color w:val="000000"/>
              </w:rPr>
              <w:t>四色印刷</w:t>
            </w:r>
            <w:r>
              <w:rPr>
                <w:rFonts w:ascii="仿宋_GB2312" w:hAnsi="仿宋_GB2312" w:cs="仿宋_GB2312" w:eastAsia="仿宋_GB2312"/>
                <w:sz w:val="24"/>
                <w:color w:val="000000"/>
              </w:rPr>
              <w:t>，套印准确、色彩还原正常</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封面</w:t>
            </w:r>
          </w:p>
          <w:p>
            <w:pPr>
              <w:pStyle w:val="null3"/>
              <w:ind w:left="-360" w:firstLine="480"/>
              <w:jc w:val="left"/>
            </w:pPr>
            <w:r>
              <w:rPr>
                <w:rFonts w:ascii="仿宋_GB2312" w:hAnsi="仿宋_GB2312" w:cs="仿宋_GB2312" w:eastAsia="仿宋_GB2312"/>
                <w:sz w:val="24"/>
                <w:color w:val="000000"/>
              </w:rPr>
              <w:t>3.1</w:t>
            </w:r>
            <w:r>
              <w:rPr>
                <w:rFonts w:ascii="仿宋_GB2312" w:hAnsi="仿宋_GB2312" w:cs="仿宋_GB2312" w:eastAsia="仿宋_GB2312"/>
                <w:sz w:val="24"/>
                <w:color w:val="000000"/>
              </w:rPr>
              <w:t>用纸：</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 xml:space="preserve"> 250g </w:t>
            </w:r>
            <w:r>
              <w:rPr>
                <w:rFonts w:ascii="仿宋_GB2312" w:hAnsi="仿宋_GB2312" w:cs="仿宋_GB2312" w:eastAsia="仿宋_GB2312"/>
                <w:sz w:val="24"/>
                <w:color w:val="000000"/>
              </w:rPr>
              <w:t>铜版纸</w:t>
            </w:r>
          </w:p>
          <w:p>
            <w:pPr>
              <w:pStyle w:val="null3"/>
              <w:ind w:left="-360" w:firstLine="480"/>
              <w:jc w:val="left"/>
            </w:pPr>
            <w:r>
              <w:rPr>
                <w:rFonts w:ascii="仿宋_GB2312" w:hAnsi="仿宋_GB2312" w:cs="仿宋_GB2312" w:eastAsia="仿宋_GB2312"/>
                <w:sz w:val="24"/>
                <w:color w:val="000000"/>
              </w:rPr>
              <w:t>3.2</w:t>
            </w:r>
            <w:r>
              <w:rPr>
                <w:rFonts w:ascii="仿宋_GB2312" w:hAnsi="仿宋_GB2312" w:cs="仿宋_GB2312" w:eastAsia="仿宋_GB2312"/>
                <w:sz w:val="24"/>
                <w:color w:val="000000"/>
              </w:rPr>
              <w:t>工艺：</w:t>
            </w:r>
            <w:r>
              <w:rPr>
                <w:rFonts w:ascii="仿宋_GB2312" w:hAnsi="仿宋_GB2312" w:cs="仿宋_GB2312" w:eastAsia="仿宋_GB2312"/>
                <w:sz w:val="24"/>
                <w:color w:val="000000"/>
              </w:rPr>
              <w:t>覆哑膜</w:t>
            </w:r>
            <w:r>
              <w:rPr>
                <w:rFonts w:ascii="仿宋_GB2312" w:hAnsi="仿宋_GB2312" w:cs="仿宋_GB2312" w:eastAsia="仿宋_GB2312"/>
                <w:sz w:val="24"/>
                <w:color w:val="000000"/>
              </w:rPr>
              <w:t xml:space="preserve"> + UV</w:t>
            </w:r>
            <w:r>
              <w:rPr>
                <w:rFonts w:ascii="仿宋_GB2312" w:hAnsi="仿宋_GB2312" w:cs="仿宋_GB2312" w:eastAsia="仿宋_GB2312"/>
                <w:sz w:val="24"/>
                <w:color w:val="000000"/>
              </w:rPr>
              <w:t>（允许同档次等效工艺）</w:t>
            </w:r>
          </w:p>
          <w:p>
            <w:pPr>
              <w:pStyle w:val="null3"/>
              <w:ind w:left="-360"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环衬与书舌</w:t>
            </w:r>
          </w:p>
          <w:p>
            <w:pPr>
              <w:pStyle w:val="null3"/>
              <w:ind w:left="-360" w:firstLine="480"/>
              <w:jc w:val="left"/>
            </w:pPr>
            <w:r>
              <w:rPr>
                <w:rFonts w:ascii="仿宋_GB2312" w:hAnsi="仿宋_GB2312" w:cs="仿宋_GB2312" w:eastAsia="仿宋_GB2312"/>
                <w:sz w:val="24"/>
                <w:color w:val="000000"/>
              </w:rPr>
              <w:t>4.1</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前后单环衬</w:t>
            </w:r>
            <w:r>
              <w:rPr>
                <w:rFonts w:ascii="仿宋_GB2312" w:hAnsi="仿宋_GB2312" w:cs="仿宋_GB2312" w:eastAsia="仿宋_GB2312"/>
                <w:sz w:val="24"/>
                <w:color w:val="000000"/>
              </w:rPr>
              <w:t xml:space="preserve"> + </w:t>
            </w:r>
            <w:r>
              <w:rPr>
                <w:rFonts w:ascii="仿宋_GB2312" w:hAnsi="仿宋_GB2312" w:cs="仿宋_GB2312" w:eastAsia="仿宋_GB2312"/>
                <w:sz w:val="24"/>
                <w:color w:val="000000"/>
              </w:rPr>
              <w:t>前后书舌</w:t>
            </w:r>
          </w:p>
          <w:p>
            <w:pPr>
              <w:pStyle w:val="null3"/>
              <w:ind w:left="-360" w:firstLine="480"/>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用纸：</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 xml:space="preserve"> 120g </w:t>
            </w:r>
            <w:r>
              <w:rPr>
                <w:rFonts w:ascii="仿宋_GB2312" w:hAnsi="仿宋_GB2312" w:cs="仿宋_GB2312" w:eastAsia="仿宋_GB2312"/>
                <w:sz w:val="24"/>
                <w:color w:val="000000"/>
              </w:rPr>
              <w:t>特种纸</w:t>
            </w:r>
          </w:p>
          <w:p>
            <w:pPr>
              <w:pStyle w:val="null3"/>
              <w:jc w:val="left"/>
              <w:outlineLvl w:val="2"/>
            </w:pPr>
            <w:r>
              <w:rPr>
                <w:rFonts w:ascii="仿宋_GB2312" w:hAnsi="仿宋_GB2312" w:cs="仿宋_GB2312" w:eastAsia="仿宋_GB2312"/>
                <w:sz w:val="24"/>
                <w:b/>
                <w:color w:val="000000"/>
              </w:rPr>
              <w:t>（四）装订要求</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装订方式：</w:t>
            </w:r>
            <w:r>
              <w:rPr>
                <w:rFonts w:ascii="仿宋_GB2312" w:hAnsi="仿宋_GB2312" w:cs="仿宋_GB2312" w:eastAsia="仿宋_GB2312"/>
                <w:sz w:val="24"/>
                <w:color w:val="000000"/>
              </w:rPr>
              <w:t>锁线胶装</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质量要求：装订牢固、不掉页、不脱胶、裁切整齐、翻阅顺畅，符合</w:t>
            </w:r>
            <w:r>
              <w:rPr>
                <w:rFonts w:ascii="仿宋_GB2312" w:hAnsi="仿宋_GB2312" w:cs="仿宋_GB2312" w:eastAsia="仿宋_GB2312"/>
                <w:sz w:val="24"/>
                <w:color w:val="000000"/>
              </w:rPr>
              <w:t xml:space="preserve"> CY/T 28 </w:t>
            </w:r>
            <w:r>
              <w:rPr>
                <w:rFonts w:ascii="仿宋_GB2312" w:hAnsi="仿宋_GB2312" w:cs="仿宋_GB2312" w:eastAsia="仿宋_GB2312"/>
                <w:sz w:val="24"/>
                <w:color w:val="000000"/>
              </w:rPr>
              <w:t>平装质量标准。</w:t>
            </w:r>
          </w:p>
          <w:p>
            <w:pPr>
              <w:pStyle w:val="null3"/>
              <w:jc w:val="left"/>
              <w:outlineLvl w:val="2"/>
            </w:pPr>
            <w:r>
              <w:rPr>
                <w:rFonts w:ascii="仿宋_GB2312" w:hAnsi="仿宋_GB2312" w:cs="仿宋_GB2312" w:eastAsia="仿宋_GB2312"/>
                <w:sz w:val="24"/>
                <w:b/>
                <w:color w:val="000000"/>
              </w:rPr>
              <w:t>（五）函盒（典藏套盒）</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板材：</w:t>
            </w:r>
            <w:r>
              <w:rPr>
                <w:rFonts w:ascii="仿宋_GB2312" w:hAnsi="仿宋_GB2312" w:cs="仿宋_GB2312" w:eastAsia="仿宋_GB2312"/>
                <w:sz w:val="24"/>
                <w:color w:val="000000"/>
              </w:rPr>
              <w:t xml:space="preserve">≥3mm </w:t>
            </w:r>
            <w:r>
              <w:rPr>
                <w:rFonts w:ascii="仿宋_GB2312" w:hAnsi="仿宋_GB2312" w:cs="仿宋_GB2312" w:eastAsia="仿宋_GB2312"/>
                <w:sz w:val="24"/>
                <w:color w:val="000000"/>
              </w:rPr>
              <w:t xml:space="preserve">厚灰板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镶板纸</w:t>
            </w:r>
            <w:r>
              <w:rPr>
                <w:rFonts w:ascii="仿宋_GB2312" w:hAnsi="仿宋_GB2312" w:cs="仿宋_GB2312" w:eastAsia="仿宋_GB2312"/>
                <w:sz w:val="24"/>
                <w:color w:val="000000"/>
              </w:rPr>
              <w:t>，挺括不变形</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饰面：</w:t>
            </w:r>
            <w:r>
              <w:rPr>
                <w:rFonts w:ascii="仿宋_GB2312" w:hAnsi="仿宋_GB2312" w:cs="仿宋_GB2312" w:eastAsia="仿宋_GB2312"/>
                <w:sz w:val="24"/>
                <w:color w:val="000000"/>
              </w:rPr>
              <w:t>特种纸裱糊</w:t>
            </w:r>
            <w:r>
              <w:rPr>
                <w:rFonts w:ascii="仿宋_GB2312" w:hAnsi="仿宋_GB2312" w:cs="仿宋_GB2312" w:eastAsia="仿宋_GB2312"/>
                <w:sz w:val="24"/>
                <w:color w:val="000000"/>
              </w:rPr>
              <w:t>，平整无起泡、无翘边</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工艺：</w:t>
            </w:r>
            <w:r>
              <w:rPr>
                <w:rFonts w:ascii="仿宋_GB2312" w:hAnsi="仿宋_GB2312" w:cs="仿宋_GB2312" w:eastAsia="仿宋_GB2312"/>
                <w:sz w:val="24"/>
                <w:color w:val="000000"/>
              </w:rPr>
              <w:t>热压定型</w:t>
            </w:r>
            <w:r>
              <w:rPr>
                <w:rFonts w:ascii="仿宋_GB2312" w:hAnsi="仿宋_GB2312" w:cs="仿宋_GB2312" w:eastAsia="仿宋_GB2312"/>
                <w:sz w:val="24"/>
                <w:color w:val="000000"/>
              </w:rPr>
              <w:t xml:space="preserve"> + </w:t>
            </w:r>
            <w:r>
              <w:rPr>
                <w:rFonts w:ascii="仿宋_GB2312" w:hAnsi="仿宋_GB2312" w:cs="仿宋_GB2312" w:eastAsia="仿宋_GB2312"/>
                <w:sz w:val="24"/>
                <w:color w:val="000000"/>
              </w:rPr>
              <w:t>烫金</w:t>
            </w:r>
            <w:r>
              <w:rPr>
                <w:rFonts w:ascii="仿宋_GB2312" w:hAnsi="仿宋_GB2312" w:cs="仿宋_GB2312" w:eastAsia="仿宋_GB2312"/>
                <w:sz w:val="24"/>
                <w:color w:val="000000"/>
              </w:rPr>
              <w:t>（允许同档次等效工艺）</w:t>
            </w:r>
          </w:p>
          <w:p>
            <w:pPr>
              <w:pStyle w:val="null3"/>
              <w:ind w:left="-360"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配手提绳</w:t>
            </w:r>
          </w:p>
          <w:p>
            <w:pPr>
              <w:pStyle w:val="null3"/>
              <w:jc w:val="left"/>
              <w:outlineLvl w:val="1"/>
            </w:pPr>
            <w:r>
              <w:rPr>
                <w:rFonts w:ascii="仿宋_GB2312" w:hAnsi="仿宋_GB2312" w:cs="仿宋_GB2312" w:eastAsia="仿宋_GB2312"/>
                <w:sz w:val="24"/>
                <w:b/>
                <w:color w:val="000000"/>
              </w:rPr>
              <w:t>三、质量与验收标准</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印刷质量符合</w:t>
            </w:r>
            <w:r>
              <w:rPr>
                <w:rFonts w:ascii="仿宋_GB2312" w:hAnsi="仿宋_GB2312" w:cs="仿宋_GB2312" w:eastAsia="仿宋_GB2312"/>
                <w:sz w:val="24"/>
                <w:color w:val="000000"/>
              </w:rPr>
              <w:t>GB/T 9851</w:t>
            </w:r>
            <w:r>
              <w:rPr>
                <w:rFonts w:ascii="仿宋_GB2312" w:hAnsi="仿宋_GB2312" w:cs="仿宋_GB2312" w:eastAsia="仿宋_GB2312"/>
                <w:sz w:val="24"/>
                <w:color w:val="000000"/>
              </w:rPr>
              <w:t>《印刷技术标准》、</w:t>
            </w:r>
            <w:r>
              <w:rPr>
                <w:rFonts w:ascii="仿宋_GB2312" w:hAnsi="仿宋_GB2312" w:cs="仿宋_GB2312" w:eastAsia="仿宋_GB2312"/>
                <w:sz w:val="24"/>
                <w:color w:val="000000"/>
              </w:rPr>
              <w:t>CY/T 5</w:t>
            </w:r>
            <w:r>
              <w:rPr>
                <w:rFonts w:ascii="仿宋_GB2312" w:hAnsi="仿宋_GB2312" w:cs="仿宋_GB2312" w:eastAsia="仿宋_GB2312"/>
                <w:sz w:val="24"/>
                <w:color w:val="000000"/>
              </w:rPr>
              <w:t>《平版印刷品质量要求》。</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无缺页、倒装、漏印、错页，图文清晰、装订牢固。</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供应商提供</w:t>
            </w:r>
            <w:r>
              <w:rPr>
                <w:rFonts w:ascii="仿宋_GB2312" w:hAnsi="仿宋_GB2312" w:cs="仿宋_GB2312" w:eastAsia="仿宋_GB2312"/>
                <w:sz w:val="24"/>
                <w:color w:val="000000"/>
              </w:rPr>
              <w:t>样书、样盒各</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套</w:t>
            </w:r>
            <w:r>
              <w:rPr>
                <w:rFonts w:ascii="仿宋_GB2312" w:hAnsi="仿宋_GB2312" w:cs="仿宋_GB2312" w:eastAsia="仿宋_GB2312"/>
                <w:sz w:val="24"/>
                <w:color w:val="000000"/>
              </w:rPr>
              <w:t>，经采购人确认后作为批量生产与验收依据。</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全部成品须达到</w:t>
            </w:r>
            <w:r>
              <w:rPr>
                <w:rFonts w:ascii="仿宋_GB2312" w:hAnsi="仿宋_GB2312" w:cs="仿宋_GB2312" w:eastAsia="仿宋_GB2312"/>
                <w:sz w:val="24"/>
                <w:color w:val="000000"/>
              </w:rPr>
              <w:t>国家及行业验收合格标准</w:t>
            </w:r>
            <w:r>
              <w:rPr>
                <w:rFonts w:ascii="仿宋_GB2312" w:hAnsi="仿宋_GB2312" w:cs="仿宋_GB2312" w:eastAsia="仿宋_GB2312"/>
                <w:sz w:val="24"/>
                <w:color w:val="000000"/>
              </w:rPr>
              <w:t>，通过采购人组织的验收。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政协三原县委员会办公室</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交货现场验收、按照国家印刷标准和印刷质量要求进行验收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按照民法典法律条款、合同约定或者协商解决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商务应答表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法定代表人直接参加投标的，须提供法定代表人身份证明、身份证复印件及原件；法定代表人授权代表参加投标的，须提供法定代表人授权委托书、身份证复印件及原件；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供应商须提供有效期内的《印刷经营许可证》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详细评审</w:t>
            </w:r>
          </w:p>
        </w:tc>
        <w:tc>
          <w:tcPr>
            <w:tcW w:type="dxa" w:w="2492"/>
          </w:tcPr>
          <w:p>
            <w:pPr>
              <w:pStyle w:val="null3"/>
            </w:pPr>
            <w:r>
              <w:rPr>
                <w:rFonts w:ascii="仿宋_GB2312" w:hAnsi="仿宋_GB2312" w:cs="仿宋_GB2312" w:eastAsia="仿宋_GB2312"/>
              </w:rPr>
              <w:t>供应商针对本项目的印刷方案完整性包括：①印刷品基本信息②材料选用说明③印刷工艺规划④生产能能力⑤交付计划等内容，每项满分2分，缺项不得分，每项内容存在缺陷，扣1分。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设计能力</w:t>
            </w:r>
          </w:p>
        </w:tc>
        <w:tc>
          <w:tcPr>
            <w:tcW w:type="dxa" w:w="2492"/>
          </w:tcPr>
          <w:p>
            <w:pPr>
              <w:pStyle w:val="null3"/>
            </w:pPr>
            <w:r>
              <w:rPr>
                <w:rFonts w:ascii="仿宋_GB2312" w:hAnsi="仿宋_GB2312" w:cs="仿宋_GB2312" w:eastAsia="仿宋_GB2312"/>
              </w:rPr>
              <w:t>供应商针对本项目的设计能力包括：①专业设计人员（人数、工作经验）②过往优秀设计案例（与印刷相关优先）技术应用能力等内容，每项满分2分，缺项不得分，每项内容存在缺陷，扣1分。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印刷设备与技术</w:t>
            </w:r>
          </w:p>
        </w:tc>
        <w:tc>
          <w:tcPr>
            <w:tcW w:type="dxa" w:w="2492"/>
          </w:tcPr>
          <w:p>
            <w:pPr>
              <w:pStyle w:val="null3"/>
            </w:pPr>
            <w:r>
              <w:rPr>
                <w:rFonts w:ascii="仿宋_GB2312" w:hAnsi="仿宋_GB2312" w:cs="仿宋_GB2312" w:eastAsia="仿宋_GB2312"/>
              </w:rPr>
              <w:t>供应商针对本项目的印刷设备与技术包括：①设备技术适配性②创新技术应用③设备性能等内容，每项满分2分，缺项不得分，每项内容存在缺陷，扣1分。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质量管控体系</w:t>
            </w:r>
          </w:p>
        </w:tc>
        <w:tc>
          <w:tcPr>
            <w:tcW w:type="dxa" w:w="2492"/>
          </w:tcPr>
          <w:p>
            <w:pPr>
              <w:pStyle w:val="null3"/>
            </w:pPr>
            <w:r>
              <w:rPr>
                <w:rFonts w:ascii="仿宋_GB2312" w:hAnsi="仿宋_GB2312" w:cs="仿宋_GB2312" w:eastAsia="仿宋_GB2312"/>
              </w:rPr>
              <w:t>供应商针对本项目的质量管控体系包括：①从原材料采购检验②印前设计审核③印刷过程动态监控④成品抽样检测⑤质量追溯与持续改进等内容，每项满分2分，缺项不得分，每项内容存在缺陷，扣1分。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应急处理能力</w:t>
            </w:r>
          </w:p>
        </w:tc>
        <w:tc>
          <w:tcPr>
            <w:tcW w:type="dxa" w:w="2492"/>
          </w:tcPr>
          <w:p>
            <w:pPr>
              <w:pStyle w:val="null3"/>
            </w:pPr>
            <w:r>
              <w:rPr>
                <w:rFonts w:ascii="仿宋_GB2312" w:hAnsi="仿宋_GB2312" w:cs="仿宋_GB2312" w:eastAsia="仿宋_GB2312"/>
              </w:rPr>
              <w:t>供应商针对本项目的应急处理能力包括：①风险预案制定②设备应急保障③原材料储备与调配④设计与内容调整应对等内容、每项满分2分，缺项不得分，每项内容存在缺陷，扣1分。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服务响应速度</w:t>
            </w:r>
          </w:p>
        </w:tc>
        <w:tc>
          <w:tcPr>
            <w:tcW w:type="dxa" w:w="2492"/>
          </w:tcPr>
          <w:p>
            <w:pPr>
              <w:pStyle w:val="null3"/>
            </w:pPr>
            <w:r>
              <w:rPr>
                <w:rFonts w:ascii="仿宋_GB2312" w:hAnsi="仿宋_GB2312" w:cs="仿宋_GB2312" w:eastAsia="仿宋_GB2312"/>
              </w:rPr>
              <w:t>供应商针对本项目的服务响应速度包括：①咨询即时响应②需求快速确认③设计高效反馈④生产异常速解⑤交付提前沟通⑥售后及时响应等内容，每项满分2分，缺项不得分，每项内容存在缺陷，扣1分。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供应商针对本项目人员配备包括：①团队组织人员配置明细②团队人员管理制度③各专业种类及岗位配置。 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绿色环保与可持续性</w:t>
            </w:r>
          </w:p>
        </w:tc>
        <w:tc>
          <w:tcPr>
            <w:tcW w:type="dxa" w:w="2492"/>
          </w:tcPr>
          <w:p>
            <w:pPr>
              <w:pStyle w:val="null3"/>
            </w:pPr>
            <w:r>
              <w:rPr>
                <w:rFonts w:ascii="仿宋_GB2312" w:hAnsi="仿宋_GB2312" w:cs="仿宋_GB2312" w:eastAsia="仿宋_GB2312"/>
              </w:rPr>
              <w:t>供应商针对本项目的绿色环保与可持续性包括：①环保管理②低碳工艺等内容， 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项目承诺及后期服务</w:t>
            </w:r>
          </w:p>
        </w:tc>
        <w:tc>
          <w:tcPr>
            <w:tcW w:type="dxa" w:w="2492"/>
          </w:tcPr>
          <w:p>
            <w:pPr>
              <w:pStyle w:val="null3"/>
            </w:pPr>
            <w:r>
              <w:rPr>
                <w:rFonts w:ascii="仿宋_GB2312" w:hAnsi="仿宋_GB2312" w:cs="仿宋_GB2312" w:eastAsia="仿宋_GB2312"/>
              </w:rPr>
              <w:t>供应商针对本项目的项目承诺包括：①交货期承诺②质量保证承诺③售后支持承诺等内容，每项满分2分，缺项不得分，每项内容存在缺陷，扣1分。 缺陷是指内容不合理、虽有内容但不完善、内容表述前后不一致、套用其他项目方案或与项目需求不匹配及其他不利于项目实施的任意一种情形。项目后期服务包括产品整理、产品移交、产品售后、持续沟通反馈等内容，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自2023年3月以来（以合同签订时间为准），供应商类似项目的，每提供一个项目得1分，最高得4分。 注：须提供相关项目合同关键页（包含签订合同双方的单位名称、项目名称、项目内容、双方签字盖章页及合同签订日期等）复印件，否则不得分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价格分统一采用低价优先法计算,即满足磋商文件要求且最后报价最低的供应商的价格为基准价，其价格分为满分。其他供应商的价格分统一按照下列公式计算：投标报价得分= (基准价/投标报价)×30%×100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