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版本号：SXJXKY2026-CS-00920260327001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霞光敬老院提升改造项目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SXJXKY2026-CS-009</w:t>
      </w:r>
      <w:r>
        <w:br/>
      </w:r>
      <w:r>
        <w:br/>
      </w:r>
      <w:r>
        <w:br/>
      </w:r>
    </w:p>
    <w:p>
      <w:pPr>
        <w:pStyle w:val="null3"/>
        <w:jc w:val="center"/>
        <w:outlineLvl w:val="2"/>
      </w:pPr>
      <w:r>
        <w:rPr>
          <w:rFonts w:ascii="仿宋_GB2312" w:hAnsi="仿宋_GB2312" w:cs="仿宋_GB2312" w:eastAsia="仿宋_GB2312"/>
          <w:sz w:val="28"/>
          <w:b/>
        </w:rPr>
        <w:t>三原县民政局</w:t>
      </w:r>
    </w:p>
    <w:p>
      <w:pPr>
        <w:pStyle w:val="null3"/>
        <w:jc w:val="center"/>
        <w:outlineLvl w:val="2"/>
      </w:pPr>
      <w:r>
        <w:rPr>
          <w:rFonts w:ascii="仿宋_GB2312" w:hAnsi="仿宋_GB2312" w:cs="仿宋_GB2312" w:eastAsia="仿宋_GB2312"/>
          <w:sz w:val="28"/>
          <w:b/>
        </w:rPr>
        <w:t>陕西聚信开源咨询管理有限公司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陕西聚信开源咨询管理有限公司</w:t>
      </w:r>
      <w:r>
        <w:rPr>
          <w:rFonts w:ascii="仿宋_GB2312" w:hAnsi="仿宋_GB2312" w:cs="仿宋_GB2312" w:eastAsia="仿宋_GB2312"/>
        </w:rPr>
        <w:t>（以下简称“代理机构”）受</w:t>
      </w:r>
      <w:r>
        <w:rPr>
          <w:rFonts w:ascii="仿宋_GB2312" w:hAnsi="仿宋_GB2312" w:cs="仿宋_GB2312" w:eastAsia="仿宋_GB2312"/>
        </w:rPr>
        <w:t>三原县民政局</w:t>
      </w:r>
      <w:r>
        <w:rPr>
          <w:rFonts w:ascii="仿宋_GB2312" w:hAnsi="仿宋_GB2312" w:cs="仿宋_GB2312" w:eastAsia="仿宋_GB2312"/>
        </w:rPr>
        <w:t>委托，拟对</w:t>
      </w:r>
      <w:r>
        <w:rPr>
          <w:rFonts w:ascii="仿宋_GB2312" w:hAnsi="仿宋_GB2312" w:cs="仿宋_GB2312" w:eastAsia="仿宋_GB2312"/>
        </w:rPr>
        <w:t>霞光敬老院提升改造项目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SXJXKY2026-CS-009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霞光敬老院提升改造项目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目前住养楼建成时间已久，常年失修，屋内墙面掉皮严重、室内无卫生间、住养楼距离生活楼较远、无安全通道、无室内康复室、楼顶雨水聚集影响房屋安全、影响居住环境。将现有院内升级改造成为现代化养老机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采购包1（霞光敬老院提升改造项目）：属于专门面向中小企业采购。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公司主体：供应商具有独立承担民事责任能力的法人、事业法人、其他组织或自然人。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2、声明：提供具有履行本合同所必需的设备和专业技术能力的声明</w:t>
      </w:r>
    </w:p>
    <w:p>
      <w:pPr>
        <w:pStyle w:val="null3"/>
      </w:pPr>
      <w:r>
        <w:rPr>
          <w:rFonts w:ascii="仿宋_GB2312" w:hAnsi="仿宋_GB2312" w:cs="仿宋_GB2312" w:eastAsia="仿宋_GB2312"/>
        </w:rPr>
        <w:t>3、财务状况报告：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7、没有重大违法记录的书面声明：参加政府采购活动前3年内在经营活动中没有重大违法记录的书面声明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8、非联合体声明：本项目不接受联合体投标，提供非联合体投标声明</w:t>
      </w:r>
    </w:p>
    <w:p>
      <w:pPr>
        <w:pStyle w:val="null3"/>
      </w:pPr>
      <w:r>
        <w:rPr>
          <w:rFonts w:ascii="仿宋_GB2312" w:hAnsi="仿宋_GB2312" w:cs="仿宋_GB2312" w:eastAsia="仿宋_GB2312"/>
        </w:rPr>
        <w:t>9、项目负责人：拟派往项目负责人须具备建筑工程专业二级及以上注册建造师执业资格，并持有有效的安全生产考核合格证书（B证），且未担任其他在建工程项目的项目经理。</w:t>
      </w:r>
    </w:p>
    <w:p>
      <w:pPr>
        <w:pStyle w:val="null3"/>
      </w:pPr>
      <w:r>
        <w:rPr>
          <w:rFonts w:ascii="仿宋_GB2312" w:hAnsi="仿宋_GB2312" w:cs="仿宋_GB2312" w:eastAsia="仿宋_GB2312"/>
        </w:rPr>
        <w:t>10、公司资质：供应商具备建设行政主管部门颁发的建筑工程施工总承包三级（含三级）或建筑装修装饰工程专业承包二级（含二级）及以上资质并具有有效的安全生产许可证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陕西省咸阳市三原县城关镇申家村申北二路</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关拥军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13991001918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陕西聚信开源咨询管理有限公司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陕西省咸阳市三原县陕西省咸阳市三原县城关街道办事处冶金大道中段华阳物流公司斜对面二排36号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蹲便、马桶、感应小便器、洗手盆</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蹲便、马桶、感应小便器、洗手盆</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蹲便、马桶、感应小便器、洗手盆</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考《国家计委关于印发&lt;招标代理服务收费管理暂行办法&gt;的通知》（计价格[2002]1980号）和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三原县民政局</w:t>
      </w:r>
      <w:r>
        <w:rPr>
          <w:rFonts w:ascii="仿宋_GB2312" w:hAnsi="仿宋_GB2312" w:cs="仿宋_GB2312" w:eastAsia="仿宋_GB2312"/>
        </w:rPr>
        <w:t>和</w:t>
      </w:r>
      <w:r>
        <w:rPr>
          <w:rFonts w:ascii="仿宋_GB2312" w:hAnsi="仿宋_GB2312" w:cs="仿宋_GB2312" w:eastAsia="仿宋_GB2312"/>
        </w:rPr>
        <w:t>陕西聚信开源咨询管理有限公司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陕西聚信开源咨询管理有限公司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陕西聚信开源咨询管理有限公司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按照国家现行规范，各项标准要求验收工程质量。</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陕西聚信开源咨询管理有限公司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陕西聚信开源咨询管理有限公司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陕西聚信开源咨询管理有限公司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联系人：邬女士</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地址：陕西省咸阳市三原县陕西省咸阳市三原县城关街道办事处冶金大道中段华阳物流公司斜对面二排36号</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霞光敬老院堤升改项目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标的名称：霞光敬老院堤升改项目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outlineLvl w:val="1"/>
            </w:pPr>
            <w:r>
              <w:rPr>
                <w:rFonts w:ascii="仿宋_GB2312" w:hAnsi="仿宋_GB2312" w:cs="仿宋_GB2312" w:eastAsia="仿宋_GB2312"/>
                <w:sz w:val="21"/>
              </w:rPr>
              <w:t>一、建筑整体与围护系统</w:t>
            </w:r>
          </w:p>
          <w:p>
            <w:pPr>
              <w:pStyle w:val="null3"/>
              <w:jc w:val="both"/>
            </w:pPr>
            <w:r>
              <w:rPr>
                <w:rFonts w:ascii="仿宋_GB2312" w:hAnsi="仿宋_GB2312" w:cs="仿宋_GB2312" w:eastAsia="仿宋_GB2312"/>
                <w:sz w:val="21"/>
              </w:rPr>
              <w:t>建筑围护结构完好稳固，满足养老机构长期安全使用要求；门窗采用节能密封型材，具备良好隔音、隔热、密闭性能，启闭顺畅、配件耐用安全；屋面防水耐久可靠，无渗漏隐患，整体围护符合安全与使用规范。</w:t>
            </w:r>
          </w:p>
          <w:p>
            <w:pPr>
              <w:pStyle w:val="null3"/>
              <w:jc w:val="both"/>
            </w:pPr>
            <w:r>
              <w:rPr>
                <w:rFonts w:ascii="仿宋_GB2312" w:hAnsi="仿宋_GB2312" w:cs="仿宋_GB2312" w:eastAsia="仿宋_GB2312"/>
                <w:sz w:val="21"/>
              </w:rPr>
              <w:t>二、装饰装修工程</w:t>
            </w:r>
          </w:p>
          <w:p>
            <w:pPr>
              <w:pStyle w:val="null3"/>
              <w:jc w:val="both"/>
            </w:pPr>
            <w:r>
              <w:rPr>
                <w:rFonts w:ascii="仿宋_GB2312" w:hAnsi="仿宋_GB2312" w:cs="仿宋_GB2312" w:eastAsia="仿宋_GB2312"/>
                <w:sz w:val="21"/>
              </w:rPr>
              <w:t>地面采用防滑、耐磨、易清洁的环保面层材料，平整无空鼓、排水顺畅；墙面与顶面采用环保饰面板材，防潮、耐擦洗、不易变形、安装牢固；整体饰面平整美观，无尖锐边角，符合养老场所安全与舒适要求。</w:t>
            </w:r>
          </w:p>
          <w:p>
            <w:pPr>
              <w:pStyle w:val="null3"/>
              <w:jc w:val="both"/>
            </w:pPr>
            <w:r>
              <w:rPr>
                <w:rFonts w:ascii="仿宋_GB2312" w:hAnsi="仿宋_GB2312" w:cs="仿宋_GB2312" w:eastAsia="仿宋_GB2312"/>
                <w:sz w:val="21"/>
              </w:rPr>
              <w:t>三、无障碍与适老化设施</w:t>
            </w:r>
          </w:p>
          <w:p>
            <w:pPr>
              <w:pStyle w:val="null3"/>
              <w:jc w:val="both"/>
            </w:pPr>
            <w:r>
              <w:rPr>
                <w:rFonts w:ascii="仿宋_GB2312" w:hAnsi="仿宋_GB2312" w:cs="仿宋_GB2312" w:eastAsia="仿宋_GB2312"/>
                <w:sz w:val="21"/>
              </w:rPr>
              <w:t>居室、卫生间、公共区域按适老标准配置无障碍扶手、紧急呼叫装置，安装牢固、响应及时；卫生间实现干湿分离，配备适老洁具与助浴设施；通道、坡道通行顺畅，满足轮椅及助行器使用，全程安全无阻碍。</w:t>
            </w:r>
          </w:p>
          <w:p>
            <w:pPr>
              <w:pStyle w:val="null3"/>
              <w:jc w:val="both"/>
            </w:pPr>
            <w:r>
              <w:rPr>
                <w:rFonts w:ascii="仿宋_GB2312" w:hAnsi="仿宋_GB2312" w:cs="仿宋_GB2312" w:eastAsia="仿宋_GB2312"/>
                <w:sz w:val="21"/>
              </w:rPr>
              <w:t>四、水电及暖通系统</w:t>
            </w:r>
          </w:p>
          <w:p>
            <w:pPr>
              <w:pStyle w:val="null3"/>
              <w:jc w:val="both"/>
            </w:pPr>
            <w:r>
              <w:rPr>
                <w:rFonts w:ascii="仿宋_GB2312" w:hAnsi="仿宋_GB2312" w:cs="仿宋_GB2312" w:eastAsia="仿宋_GB2312"/>
                <w:sz w:val="21"/>
              </w:rPr>
              <w:t>给排水管道铺设规范，通水通畅、无渗漏堵塞，布局合理；电气线路敷设安全规范，负荷匹配、接地可靠，照明系统亮度适宜、节能耐用；管线排布规整，便于维护，满足敬老院日常安全稳定运行。</w:t>
            </w:r>
          </w:p>
          <w:p>
            <w:pPr>
              <w:pStyle w:val="null3"/>
              <w:jc w:val="both"/>
            </w:pPr>
            <w:r>
              <w:rPr>
                <w:rFonts w:ascii="仿宋_GB2312" w:hAnsi="仿宋_GB2312" w:cs="仿宋_GB2312" w:eastAsia="仿宋_GB2312"/>
                <w:sz w:val="21"/>
              </w:rPr>
              <w:t>五、公共空间与配套改造</w:t>
            </w:r>
          </w:p>
          <w:p>
            <w:pPr>
              <w:pStyle w:val="null3"/>
              <w:jc w:val="both"/>
            </w:pPr>
            <w:r>
              <w:rPr>
                <w:rFonts w:ascii="仿宋_GB2312" w:hAnsi="仿宋_GB2312" w:cs="仿宋_GB2312" w:eastAsia="仿宋_GB2312"/>
                <w:sz w:val="21"/>
              </w:rPr>
              <w:t>门厅、走廊、餐厅、活动室等公共区域装修整洁实用，功能布局合理；公共助浴间、康复活动区域设施配置齐全，满足老人洗浴、康复活动需求；室外道路、活动场地平整通畅，景观与休憩设施完善。</w:t>
            </w:r>
          </w:p>
          <w:p>
            <w:pPr>
              <w:pStyle w:val="null3"/>
              <w:jc w:val="both"/>
            </w:pPr>
            <w:r>
              <w:rPr>
                <w:rFonts w:ascii="仿宋_GB2312" w:hAnsi="仿宋_GB2312" w:cs="仿宋_GB2312" w:eastAsia="仿宋_GB2312"/>
                <w:sz w:val="21"/>
              </w:rPr>
              <w:t>六、玻璃结构与采光工程</w:t>
            </w:r>
          </w:p>
          <w:p>
            <w:pPr>
              <w:pStyle w:val="null3"/>
              <w:jc w:val="both"/>
            </w:pPr>
            <w:r>
              <w:rPr>
                <w:rFonts w:ascii="仿宋_GB2312" w:hAnsi="仿宋_GB2312" w:cs="仿宋_GB2312" w:eastAsia="仿宋_GB2312"/>
                <w:sz w:val="21"/>
              </w:rPr>
              <w:t>室外无障碍通道、阳光房、玻璃雨棚采用安全玻璃与稳固钢架结构，整体安全可靠、采光通透、密封防水；结构连接牢固，抗风、抗压性能达标，使用安全耐久，提升空间采光与舒适性。</w:t>
            </w:r>
          </w:p>
          <w:p>
            <w:pPr>
              <w:pStyle w:val="null3"/>
              <w:jc w:val="both"/>
            </w:pPr>
            <w:r>
              <w:rPr>
                <w:rFonts w:ascii="仿宋_GB2312" w:hAnsi="仿宋_GB2312" w:cs="仿宋_GB2312" w:eastAsia="仿宋_GB2312"/>
                <w:sz w:val="21"/>
              </w:rPr>
              <w:t>七、消防与备用电源</w:t>
            </w:r>
          </w:p>
          <w:p>
            <w:pPr>
              <w:pStyle w:val="null3"/>
              <w:jc w:val="both"/>
            </w:pPr>
            <w:r>
              <w:rPr>
                <w:rFonts w:ascii="仿宋_GB2312" w:hAnsi="仿宋_GB2312" w:cs="仿宋_GB2312" w:eastAsia="仿宋_GB2312"/>
                <w:sz w:val="21"/>
              </w:rPr>
              <w:t>发电机房结构稳固、隔音良好，配套柴油发电机及自动启停系统运行稳定、响应迅速，满足应急供电需求；整体消防与备用电源系统符合规范，保障机构应急状态下安全运转。</w:t>
            </w:r>
          </w:p>
          <w:p>
            <w:pPr>
              <w:pStyle w:val="null3"/>
              <w:jc w:val="both"/>
            </w:pPr>
            <w:r>
              <w:rPr>
                <w:rFonts w:ascii="仿宋_GB2312" w:hAnsi="仿宋_GB2312" w:cs="仿宋_GB2312" w:eastAsia="仿宋_GB2312"/>
                <w:sz w:val="21"/>
              </w:rPr>
              <w:t>八、环保与质量标准</w:t>
            </w:r>
          </w:p>
          <w:p>
            <w:pPr>
              <w:pStyle w:val="null3"/>
              <w:jc w:val="both"/>
            </w:pPr>
            <w:r>
              <w:rPr>
                <w:rFonts w:ascii="仿宋_GB2312" w:hAnsi="仿宋_GB2312" w:cs="仿宋_GB2312" w:eastAsia="仿宋_GB2312"/>
                <w:sz w:val="21"/>
              </w:rPr>
              <w:t>所有材料符合国家环保要求，无有害气体释放；施工工艺符合现行建筑规范，工程质量合格；改造后整体功能完善，满足敬老院居住、服务、运营的全部使用需求。</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应严格遵循国家及行业现行有效的技术规范、标准图集及强制性条文要求；项目竣工后，须满足《养老机构服务安全基本规范》（GB 38600-2019）、《老年人照料设施建筑设计标准》（JGJ 450-2018）等专项标准，通过行业主管部门及相关单位联合验收，达到国家及行业规定的合格标准后方可交付使用。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方案.docx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公司主体</w:t>
            </w:r>
          </w:p>
        </w:tc>
        <w:tc>
          <w:tcPr>
            <w:tcW w:type="dxa" w:w="3322"/>
          </w:tcPr>
          <w:p>
            <w:pPr>
              <w:pStyle w:val="null3"/>
            </w:pPr>
            <w:r>
              <w:rPr>
                <w:rFonts w:ascii="仿宋_GB2312" w:hAnsi="仿宋_GB2312" w:cs="仿宋_GB2312" w:eastAsia="仿宋_GB2312"/>
              </w:rPr>
              <w:t>供应商具有独立承担民事责任能力的法人、事业法人、其他组织或自然人。企业法人应提供合法有效的标识有统一社会信用代码的营业执照；事业法人应提供事业单位法人证书；其他组织应提供合法登记证明文件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拟派往项目负责人须具备建筑工程专业二级及以上注册建造师执业资格，并持有有效的安全生产考核合格证书（B证），且未担任其他在建工程项目的项目经理。</w:t>
            </w:r>
          </w:p>
        </w:tc>
        <w:tc>
          <w:tcPr>
            <w:tcW w:type="dxa" w:w="1661"/>
          </w:tcPr>
          <w:p>
            <w:pPr>
              <w:pStyle w:val="null3"/>
            </w:pPr>
            <w:r>
              <w:rPr>
                <w:rFonts w:ascii="仿宋_GB2312" w:hAnsi="仿宋_GB2312" w:cs="仿宋_GB2312" w:eastAsia="仿宋_GB2312"/>
              </w:rPr>
              <w:t>项目管理机构组成表 供应商应提交的相关资格证明材料 响应函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供应商具备建设行政主管部门颁发的建筑工程施工总承包三级（含三级）或建筑装修装饰工程专业承包二级（含二级）及以上资质并具有有效的安全生产许可证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响应文件封面 已标价工程量清单 报价函 方案.docx 供应商应提交的相关资格证明材料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招标有效期是否满足招标最低要求90天的</w:t>
            </w:r>
          </w:p>
        </w:tc>
        <w:tc>
          <w:tcPr>
            <w:tcW w:type="dxa" w:w="1661"/>
          </w:tcPr>
          <w:p>
            <w:pPr>
              <w:pStyle w:val="null3"/>
            </w:pPr>
            <w:r>
              <w:rPr>
                <w:rFonts w:ascii="仿宋_GB2312" w:hAnsi="仿宋_GB2312" w:cs="仿宋_GB2312" w:eastAsia="仿宋_GB2312"/>
              </w:rPr>
              <w:t>响应文件封面 报价函 方案.docx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⑥劳动力计划及主要材料供应计划计划效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②项目经理部组成③专业化项目经理部组建原则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技术方案⑤施工废弃物分类处理与资源化利用措施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针对本项目雨季施工管理防范措施，内容包括但不限于①场地排水系统升级与动态监测措施②工序优化与防雨作业保障机制③雨季施工管理防范措施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针对本项目服务承诺，内容包括但不限于①服务过程中的相关承诺②投入材料质量承诺③质量保修期内的服务承诺④合理化建议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3月以来类似项目业绩；每提供1份计2分，最高得8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