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版本号：SYCG-CS-2600320260310001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三原县2025年度第四批次“标准地”建设地震评价报告编制项目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SYCG-CS-26003</w:t>
      </w:r>
      <w:r>
        <w:br/>
      </w:r>
      <w:r>
        <w:br/>
      </w:r>
      <w:r>
        <w:br/>
      </w:r>
    </w:p>
    <w:p>
      <w:pPr>
        <w:pStyle w:val="null3"/>
        <w:jc w:val="center"/>
        <w:outlineLvl w:val="2"/>
      </w:pPr>
      <w:r>
        <w:rPr>
          <w:rFonts w:ascii="仿宋_GB2312" w:hAnsi="仿宋_GB2312" w:cs="仿宋_GB2312" w:eastAsia="仿宋_GB2312"/>
          <w:sz w:val="28"/>
          <w:b/>
        </w:rPr>
        <w:t>三原县自然资源局</w:t>
      </w:r>
    </w:p>
    <w:p>
      <w:pPr>
        <w:pStyle w:val="null3"/>
        <w:jc w:val="center"/>
        <w:outlineLvl w:val="2"/>
      </w:pPr>
      <w:r>
        <w:rPr>
          <w:rFonts w:ascii="仿宋_GB2312" w:hAnsi="仿宋_GB2312" w:cs="仿宋_GB2312" w:eastAsia="仿宋_GB2312"/>
          <w:sz w:val="28"/>
          <w:b/>
        </w:rPr>
        <w:t>三原县政府采购中心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三原县政府采购中心</w:t>
      </w:r>
      <w:r>
        <w:rPr>
          <w:rFonts w:ascii="仿宋_GB2312" w:hAnsi="仿宋_GB2312" w:cs="仿宋_GB2312" w:eastAsia="仿宋_GB2312"/>
        </w:rPr>
        <w:t>（以下简称“代理机构”）受</w:t>
      </w:r>
      <w:r>
        <w:rPr>
          <w:rFonts w:ascii="仿宋_GB2312" w:hAnsi="仿宋_GB2312" w:cs="仿宋_GB2312" w:eastAsia="仿宋_GB2312"/>
        </w:rPr>
        <w:t>三原县自然资源局</w:t>
      </w:r>
      <w:r>
        <w:rPr>
          <w:rFonts w:ascii="仿宋_GB2312" w:hAnsi="仿宋_GB2312" w:cs="仿宋_GB2312" w:eastAsia="仿宋_GB2312"/>
        </w:rPr>
        <w:t>委托，拟对</w:t>
      </w:r>
      <w:r>
        <w:rPr>
          <w:rFonts w:ascii="仿宋_GB2312" w:hAnsi="仿宋_GB2312" w:cs="仿宋_GB2312" w:eastAsia="仿宋_GB2312"/>
        </w:rPr>
        <w:t>三原县2025年度第四批次“标准地”建设地震评价报告编制项目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SYCG-CS-26003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三原县2025年度第四批次“标准地”建设地震评价报告编制项目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三原县2025年度第四批次项目位于陕西省咸阳市三原县冶金大道十字路东南角，占地面积30.91亩，属于三原县高新技术产业开发区冶金工业园。对该批次所在地块进行地震安全性评价报告编制。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采购包1（三原县2025年度第四批次“标准地”建设地震评价报告编制项目）：属于专门面向中小企业采购。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1、营业执照：有独立承担民事责任能力的法人、其他组织或自然人，营业执照、税务登记证、组织机构代码证（多证合一只提供营业执照，事业单位提供事业单位法人证书，自然人提供本人身份证）合法有效；</w:t>
      </w:r>
    </w:p>
    <w:p>
      <w:pPr>
        <w:pStyle w:val="null3"/>
      </w:pPr>
      <w:r>
        <w:rPr>
          <w:rFonts w:ascii="仿宋_GB2312" w:hAnsi="仿宋_GB2312" w:cs="仿宋_GB2312" w:eastAsia="仿宋_GB2312"/>
        </w:rPr>
        <w:t>2、法定代表人授权委托书：提供法定代表人授权委托书及委托代理人有效身份证原件，法定代表人直接参加开标会议，需提供法定代表人身份证明及其有效的身份证原件；</w:t>
      </w:r>
    </w:p>
    <w:p>
      <w:pPr>
        <w:pStyle w:val="null3"/>
      </w:pPr>
      <w:r>
        <w:rPr>
          <w:rFonts w:ascii="仿宋_GB2312" w:hAnsi="仿宋_GB2312" w:cs="仿宋_GB2312" w:eastAsia="仿宋_GB2312"/>
        </w:rPr>
        <w:t>3、财务状况报告：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p>
      <w:pPr>
        <w:pStyle w:val="null3"/>
      </w:pPr>
      <w:r>
        <w:rPr>
          <w:rFonts w:ascii="仿宋_GB2312" w:hAnsi="仿宋_GB2312" w:cs="仿宋_GB2312" w:eastAsia="仿宋_GB2312"/>
        </w:rPr>
        <w:t>4、税收缴纳证明：提供开标截止时间前半年内至少一个月的纳税证明或完税证明；依法免税的单位应提供相关证明材料；</w:t>
      </w:r>
    </w:p>
    <w:p>
      <w:pPr>
        <w:pStyle w:val="null3"/>
      </w:pPr>
      <w:r>
        <w:rPr>
          <w:rFonts w:ascii="仿宋_GB2312" w:hAnsi="仿宋_GB2312" w:cs="仿宋_GB2312" w:eastAsia="仿宋_GB2312"/>
        </w:rPr>
        <w:t>5、社会保障资金缴纳证明：提供开标截止时间前半年内至少一个月的社保机构开具的社会保险参保缴费情况证明；依法不需要缴纳社会保障资金的单位应提供相关证明材料；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中国：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7、没有重大违法记录的书面声明：参加政府采购活动前3年内在经营活动中没有重大违法记录的书面声明</w:t>
      </w:r>
    </w:p>
    <w:p>
      <w:pPr>
        <w:pStyle w:val="null3"/>
      </w:pPr>
      <w:r>
        <w:rPr>
          <w:rFonts w:ascii="仿宋_GB2312" w:hAnsi="仿宋_GB2312" w:cs="仿宋_GB2312" w:eastAsia="仿宋_GB2312"/>
        </w:rPr>
        <w:t>8、非联合体声明：本项目不接受联合体投标，提供非联合体投标声明。</w:t>
      </w:r>
    </w:p>
    <w:p>
      <w:pPr>
        <w:pStyle w:val="null3"/>
      </w:pPr>
      <w:r>
        <w:rPr>
          <w:rFonts w:ascii="仿宋_GB2312" w:hAnsi="仿宋_GB2312" w:cs="仿宋_GB2312" w:eastAsia="仿宋_GB2312"/>
        </w:rPr>
        <w:t>9、从业单位信用等级要求：地震安全性评价单位信用等级C级及以上,提供省级地震主管部门对地震评价从业单位的信用等级评价的网站截图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三原县自然资源局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三原县政府街4号县政府院内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三原县自然资源局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15877619722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三原县政府采购中心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三原县政府街7号三原县财政局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713800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029-32269233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三原县政府采购管理股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席先生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029-32268653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采购包1：485,000.00元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三原县自然资源局</w:t>
      </w:r>
      <w:r>
        <w:rPr>
          <w:rFonts w:ascii="仿宋_GB2312" w:hAnsi="仿宋_GB2312" w:cs="仿宋_GB2312" w:eastAsia="仿宋_GB2312"/>
        </w:rPr>
        <w:t>和</w:t>
      </w:r>
      <w:r>
        <w:rPr>
          <w:rFonts w:ascii="仿宋_GB2312" w:hAnsi="仿宋_GB2312" w:cs="仿宋_GB2312" w:eastAsia="仿宋_GB2312"/>
        </w:rPr>
        <w:t>三原县政府采购中心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三原县自然资源局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三原县政府采购中心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三原县自然资源局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三原县政府采购中心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符合国家相关标准及采购文件要求。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三原县政府采购中心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三原县政府采购中心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联系人：王先生</w:t>
      </w:r>
    </w:p>
    <w:p>
      <w:pPr>
        <w:pStyle w:val="null3"/>
      </w:pPr>
      <w:r>
        <w:rPr>
          <w:rFonts w:ascii="仿宋_GB2312" w:hAnsi="仿宋_GB2312" w:cs="仿宋_GB2312" w:eastAsia="仿宋_GB2312"/>
        </w:rPr>
        <w:t>联系电话：029-32269233</w:t>
      </w:r>
    </w:p>
    <w:p>
      <w:pPr>
        <w:pStyle w:val="null3"/>
      </w:pPr>
      <w:r>
        <w:rPr>
          <w:rFonts w:ascii="仿宋_GB2312" w:hAnsi="仿宋_GB2312" w:cs="仿宋_GB2312" w:eastAsia="仿宋_GB2312"/>
        </w:rPr>
        <w:t>地址：三原县政府街7号三原县财政局</w:t>
      </w:r>
    </w:p>
    <w:p>
      <w:pPr>
        <w:pStyle w:val="null3"/>
      </w:pPr>
      <w:r>
        <w:rPr>
          <w:rFonts w:ascii="仿宋_GB2312" w:hAnsi="仿宋_GB2312" w:cs="仿宋_GB2312" w:eastAsia="仿宋_GB2312"/>
        </w:rPr>
        <w:t>邮编：713800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三原县2025年度第四批次项目位于陕西省咸阳市三原县冶金大道十字路东南角，占地面积30.91亩，属于三原县高新技术产业开发区冶金工业园。对该批次所在地块进行地震安全性评价报告编制。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485,000.00</w:t>
      </w:r>
    </w:p>
    <w:p>
      <w:pPr>
        <w:pStyle w:val="null3"/>
      </w:pPr>
      <w:r>
        <w:rPr>
          <w:rFonts w:ascii="仿宋_GB2312" w:hAnsi="仿宋_GB2312" w:cs="仿宋_GB2312" w:eastAsia="仿宋_GB2312"/>
        </w:rPr>
        <w:t>采购包最高限价（元）: 485,000.00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三原县2025年度第四批次标准地建设地震评价报告编制项目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485,000.00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标的名称：三原县2025年度第四批次标准地建设地震评价报告编制项目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一、评价范围与内容完整性</w:t>
            </w:r>
          </w:p>
          <w:p>
            <w:pPr>
              <w:pStyle w:val="null3"/>
            </w:pPr>
            <w:r>
              <w:rPr>
                <w:rFonts w:ascii="仿宋_GB2312" w:hAnsi="仿宋_GB2312" w:cs="仿宋_GB2312" w:eastAsia="仿宋_GB2312"/>
              </w:rPr>
              <w:t>1.评价范围需严格按照《地震安全性评价管理条例》及相关技术规范确定，涵盖工程场地及其周边可能受地震影响的区域，充分考虑场地的地质条件、工程规模及重要性，确保无关键区域遗漏。</w:t>
            </w:r>
          </w:p>
          <w:p>
            <w:pPr>
              <w:pStyle w:val="null3"/>
            </w:pPr>
            <w:r>
              <w:rPr>
                <w:rFonts w:ascii="仿宋_GB2312" w:hAnsi="仿宋_GB2312" w:cs="仿宋_GB2312" w:eastAsia="仿宋_GB2312"/>
              </w:rPr>
              <w:t>2.内容应包含地震活动性分析、地震地质构造调查、场地工程地质条件勘察、地震动参数确定、地震地质灾害评价、建筑抗震设防建议等完整模块，各模块需紧密衔接、逻辑连贯。</w:t>
            </w:r>
          </w:p>
          <w:p>
            <w:pPr>
              <w:pStyle w:val="null3"/>
            </w:pPr>
            <w:r>
              <w:rPr>
                <w:rFonts w:ascii="仿宋_GB2312" w:hAnsi="仿宋_GB2312" w:cs="仿宋_GB2312" w:eastAsia="仿宋_GB2312"/>
              </w:rPr>
              <w:t>3.对地震危险区、活动断裂带等地震敏感区域需进行重点评价，明确其在评价中的核心地位，详细分析其对工程场地的潜在影响。</w:t>
            </w:r>
          </w:p>
          <w:p>
            <w:pPr>
              <w:pStyle w:val="null3"/>
            </w:pPr>
            <w:r>
              <w:rPr>
                <w:rFonts w:ascii="仿宋_GB2312" w:hAnsi="仿宋_GB2312" w:cs="仿宋_GB2312" w:eastAsia="仿宋_GB2312"/>
              </w:rPr>
              <w:t>二、技术方法科学性与规范性</w:t>
            </w:r>
          </w:p>
          <w:p>
            <w:pPr>
              <w:pStyle w:val="null3"/>
            </w:pPr>
            <w:r>
              <w:rPr>
                <w:rFonts w:ascii="仿宋_GB2312" w:hAnsi="仿宋_GB2312" w:cs="仿宋_GB2312" w:eastAsia="仿宋_GB2312"/>
              </w:rPr>
              <w:t>1.地震活动性分析需采用符合国家相关技术标准的方法，对区域内历史地震数据、地震活动规律等进行系统梳理和分析，数据来源需可靠，分析过程需科学合理。</w:t>
            </w:r>
          </w:p>
          <w:p>
            <w:pPr>
              <w:pStyle w:val="null3"/>
            </w:pPr>
            <w:r>
              <w:rPr>
                <w:rFonts w:ascii="仿宋_GB2312" w:hAnsi="仿宋_GB2312" w:cs="仿宋_GB2312" w:eastAsia="仿宋_GB2312"/>
              </w:rPr>
              <w:t>2.地震地质构造调查应运用地质测绘、物探、钻探等多种手段，查明场地及周边的断裂构造、地层岩性等地质条件，调查方法需规范，成果需准确反映地质构造特征。</w:t>
            </w:r>
          </w:p>
          <w:p>
            <w:pPr>
              <w:pStyle w:val="null3"/>
            </w:pPr>
            <w:r>
              <w:rPr>
                <w:rFonts w:ascii="仿宋_GB2312" w:hAnsi="仿宋_GB2312" w:cs="仿宋_GB2312" w:eastAsia="仿宋_GB2312"/>
              </w:rPr>
              <w:t>3.场地工程地质条件勘察需按照相关勘察规范进行，对场地土的物理力学性质、地下水分布等进行测试和分析，测试数据需真实有效，为地震动参数确定提供可靠依据。</w:t>
            </w:r>
          </w:p>
          <w:p>
            <w:pPr>
              <w:pStyle w:val="null3"/>
            </w:pPr>
            <w:r>
              <w:rPr>
                <w:rFonts w:ascii="仿宋_GB2312" w:hAnsi="仿宋_GB2312" w:cs="仿宋_GB2312" w:eastAsia="仿宋_GB2312"/>
              </w:rPr>
              <w:t>4.地震动参数确定需选用合适的计算模型和方法，模型参数的选取需有充分的理论依据和数据支撑，计算结果需经过验证和校核，确保准确可靠。</w:t>
            </w:r>
          </w:p>
          <w:p>
            <w:pPr>
              <w:pStyle w:val="null3"/>
            </w:pPr>
            <w:r>
              <w:rPr>
                <w:rFonts w:ascii="仿宋_GB2312" w:hAnsi="仿宋_GB2312" w:cs="仿宋_GB2312" w:eastAsia="仿宋_GB2312"/>
              </w:rPr>
              <w:t>三、成果质量与规范性</w:t>
            </w:r>
          </w:p>
          <w:p>
            <w:pPr>
              <w:pStyle w:val="null3"/>
            </w:pPr>
            <w:r>
              <w:rPr>
                <w:rFonts w:ascii="仿宋_GB2312" w:hAnsi="仿宋_GB2312" w:cs="仿宋_GB2312" w:eastAsia="仿宋_GB2312"/>
              </w:rPr>
              <w:t>1.报告文本结构应完整规范，包含前言、评价范围与内容、地震活动性分析、地震地质构造调查、场地工程地质条件勘察、地震动参数确定、地震地质灾害评价、建筑抗震设防建议等必要章节，逻辑层次清晰，语言表述准确、简洁。</w:t>
            </w:r>
          </w:p>
          <w:p>
            <w:pPr>
              <w:pStyle w:val="null3"/>
            </w:pPr>
            <w:r>
              <w:rPr>
                <w:rFonts w:ascii="仿宋_GB2312" w:hAnsi="仿宋_GB2312" w:cs="仿宋_GB2312" w:eastAsia="仿宋_GB2312"/>
              </w:rPr>
              <w:t>2.报告中引用的数据、资料需真实可靠，并注明来源，重要数据和结论需提供充分的论据支持。图表制作应规范清晰，能直观反映地震活动性、地质构造、地震动参数等相关信息，标注完整准确。</w:t>
            </w:r>
          </w:p>
          <w:p>
            <w:pPr>
              <w:pStyle w:val="null3"/>
            </w:pPr>
            <w:r>
              <w:rPr>
                <w:rFonts w:ascii="仿宋_GB2312" w:hAnsi="仿宋_GB2312" w:cs="仿宋_GB2312" w:eastAsia="仿宋_GB2312"/>
              </w:rPr>
              <w:t>3.成果需符合地震安全性评价相关技术导则和规范的格式要求，满足政府采购项目对报告成果的基本质量标准，可直接作为工程建设项目抗震设防的依据。</w:t>
            </w:r>
          </w:p>
          <w:p>
            <w:pPr>
              <w:pStyle w:val="null3"/>
            </w:pPr>
            <w:r>
              <w:rPr>
                <w:rFonts w:ascii="仿宋_GB2312" w:hAnsi="仿宋_GB2312" w:cs="仿宋_GB2312" w:eastAsia="仿宋_GB2312"/>
              </w:rPr>
              <w:t>四、团队资质与经验要求</w:t>
            </w:r>
          </w:p>
          <w:p>
            <w:pPr>
              <w:pStyle w:val="null3"/>
            </w:pPr>
            <w:r>
              <w:rPr>
                <w:rFonts w:ascii="仿宋_GB2312" w:hAnsi="仿宋_GB2312" w:cs="仿宋_GB2312" w:eastAsia="仿宋_GB2312"/>
                <w:sz w:val="21"/>
              </w:rPr>
              <w:t>1</w:t>
            </w:r>
            <w:r>
              <w:rPr>
                <w:rFonts w:ascii="仿宋_GB2312" w:hAnsi="仿宋_GB2312" w:cs="仿宋_GB2312" w:eastAsia="仿宋_GB2312"/>
                <w:sz w:val="21"/>
              </w:rPr>
              <w:t>团队成员须配备足够数量、须有地震安全性评价工作地震学、地质学、工程地震学专业的高级工程师，具备相应地震安全性评价工作经验与专业技术能力；编制单位及团队须符合国家及地方关于地震安全性评价的相关管理规定，确保具备完成本项目的专业技术能力与服务保障能力。</w:t>
            </w:r>
          </w:p>
          <w:p>
            <w:pPr>
              <w:pStyle w:val="null3"/>
            </w:pPr>
            <w:r>
              <w:rPr>
                <w:rFonts w:ascii="仿宋_GB2312" w:hAnsi="仿宋_GB2312" w:cs="仿宋_GB2312" w:eastAsia="仿宋_GB2312"/>
              </w:rPr>
              <w:t>2.团队应具有类似工程场地地震安全性评价报告的编制经验，熟悉地震安全性评价的相关政策法规、技术标准及当地的地质构造特征，能够有效应对评价过程中出现的各类技术问题。</w:t>
            </w:r>
          </w:p>
          <w:p>
            <w:pPr>
              <w:pStyle w:val="null3"/>
            </w:pPr>
            <w:r>
              <w:rPr>
                <w:rFonts w:ascii="仿宋_GB2312" w:hAnsi="仿宋_GB2312" w:cs="仿宋_GB2312" w:eastAsia="仿宋_GB2312"/>
              </w:rPr>
              <w:t>五、服务响应与售后保障</w:t>
            </w:r>
          </w:p>
          <w:p>
            <w:pPr>
              <w:pStyle w:val="null3"/>
            </w:pPr>
            <w:r>
              <w:rPr>
                <w:rFonts w:ascii="仿宋_GB2312" w:hAnsi="仿宋_GB2312" w:cs="仿宋_GB2312" w:eastAsia="仿宋_GB2312"/>
              </w:rPr>
              <w:t>1.在报告编制过程中，编制单位应及时响应采购方的合理要求，包括提供中间成果汇报、根据采购方及相关部门意见进行修改完善等，保证沟通顺畅、响应及时。</w:t>
            </w:r>
          </w:p>
          <w:p>
            <w:pPr>
              <w:pStyle w:val="null3"/>
            </w:pPr>
            <w:r>
              <w:rPr>
                <w:rFonts w:ascii="仿宋_GB2312" w:hAnsi="仿宋_GB2312" w:cs="仿宋_GB2312" w:eastAsia="仿宋_GB2312"/>
              </w:rPr>
              <w:t>2.报告提交后，需提供不少于</w:t>
            </w:r>
            <w:r>
              <w:rPr>
                <w:rFonts w:ascii="仿宋_GB2312" w:hAnsi="仿宋_GB2312" w:cs="仿宋_GB2312" w:eastAsia="仿宋_GB2312"/>
              </w:rPr>
              <w:t>1 年的售后服务，对报告使用过程中出现的疑问进行解答，</w:t>
            </w:r>
            <w:r>
              <w:rPr>
                <w:rFonts w:ascii="仿宋_GB2312" w:hAnsi="仿宋_GB2312" w:cs="仿宋_GB2312" w:eastAsia="仿宋_GB2312"/>
                <w:sz w:val="21"/>
              </w:rPr>
              <w:t>根据地震安评报告技术审查专家组审查意见进行报告修改，确保报告能够通过技术审查。</w:t>
            </w:r>
          </w:p>
          <w:p>
            <w:pPr>
              <w:pStyle w:val="null3"/>
            </w:pPr>
            <w:r>
              <w:rPr>
                <w:rFonts w:ascii="仿宋_GB2312" w:hAnsi="仿宋_GB2312" w:cs="仿宋_GB2312" w:eastAsia="仿宋_GB2312"/>
              </w:rPr>
              <w:t>六、合规性要求</w:t>
            </w:r>
          </w:p>
          <w:p>
            <w:pPr>
              <w:pStyle w:val="null3"/>
            </w:pPr>
            <w:r>
              <w:rPr>
                <w:rFonts w:ascii="仿宋_GB2312" w:hAnsi="仿宋_GB2312" w:cs="仿宋_GB2312" w:eastAsia="仿宋_GB2312"/>
              </w:rPr>
              <w:t>1.报告编制需严格遵守《中华人民共和国政府采购法》《地震安全性评价管理条例》等相关法律法规的规定，确保报告编制过程和成果符合法律要求。</w:t>
            </w:r>
          </w:p>
          <w:p>
            <w:pPr>
              <w:pStyle w:val="null3"/>
            </w:pPr>
            <w:r>
              <w:rPr>
                <w:rFonts w:ascii="仿宋_GB2312" w:hAnsi="仿宋_GB2312" w:cs="仿宋_GB2312" w:eastAsia="仿宋_GB2312"/>
                <w:sz w:val="21"/>
              </w:rPr>
              <w:t>报告内容需符合国家及地方的抗震设防政策、工程建设规划及相关技术标准，为工程建设项目的抗震设防提供合规的依据。</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供应商根据单位自身情况及项目实际情况配置</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合同签订并接到甲方通知后70个工作日内完成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提供经地震安全性评价专家组技术审查意见和技术审查通过后的技术报告</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乙方向甲方提交成果文件需经地震安全性评价专家组审查通过并出具技术审查意见书后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协议签订后，任何一方无权终止合同，否则按总费用的10%追究违约责任。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有独立承担民事责任能力的法人、其他组织或自然人，营业执照、税务登记证、组织机构代码证（多证合一只提供营业执照，事业单位提供事业单位法人证书，自然人提供本人身份证）合法有效；</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提供法定代表人授权委托书及委托代理人有效身份证原件，法定代表人直接参加开标会议，需提供法定代表人身份证明及其有效的身份证原件；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财务报表或具有财务审计资质的单位出具的财务报告（至少包括资产负债表和利润表，成立时间至提交响应文件截止时间不足一年的可提供成立后任意时段的资产负债表），或银行出具的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提供开标截止时间前半年内至少一个月的纳税证明或完税证明；依法免税的单位应提供相关证明材料；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提供开标截止时间前半年内至少一个月的社保机构开具的社会保险参保缴费情况证明；依法不需要缴纳社会保障资金的单位应提供相关证明材料；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本项目不接受联合体投标，提供非联合体投标声明。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从业单位信用等级要求</w:t>
            </w:r>
          </w:p>
        </w:tc>
        <w:tc>
          <w:tcPr>
            <w:tcW w:type="dxa" w:w="3322"/>
          </w:tcPr>
          <w:p>
            <w:pPr>
              <w:pStyle w:val="null3"/>
            </w:pPr>
            <w:r>
              <w:rPr>
                <w:rFonts w:ascii="仿宋_GB2312" w:hAnsi="仿宋_GB2312" w:cs="仿宋_GB2312" w:eastAsia="仿宋_GB2312"/>
              </w:rPr>
              <w:t>地震安全性评价单位信用等级C级及以上,提供省级地震主管部门对地震评价从业单位的信用等级评价的网站截图</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标的清单 供应商应提交的相关资格证明材料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响应文件完整性</w:t>
            </w:r>
          </w:p>
        </w:tc>
        <w:tc>
          <w:tcPr>
            <w:tcW w:type="dxa" w:w="3322"/>
          </w:tcPr>
          <w:p>
            <w:pPr>
              <w:pStyle w:val="null3"/>
            </w:pPr>
            <w:r>
              <w:rPr>
                <w:rFonts w:ascii="仿宋_GB2312" w:hAnsi="仿宋_GB2312" w:cs="仿宋_GB2312" w:eastAsia="仿宋_GB2312"/>
              </w:rPr>
              <w:t>响应文件构成无重大缺项（详细评审除外）， 按照文件要求的格式编写响应文件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报价唯一，且没有低于成本价或高于采购预算的</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响应文件有效性</w:t>
            </w:r>
          </w:p>
        </w:tc>
        <w:tc>
          <w:tcPr>
            <w:tcW w:type="dxa" w:w="3322"/>
          </w:tcPr>
          <w:p>
            <w:pPr>
              <w:pStyle w:val="null3"/>
            </w:pPr>
            <w:r>
              <w:rPr>
                <w:rFonts w:ascii="仿宋_GB2312" w:hAnsi="仿宋_GB2312" w:cs="仿宋_GB2312" w:eastAsia="仿宋_GB2312"/>
              </w:rPr>
              <w:t>响应文件的签署、盖章符合文件要求，供应商 递交的响应文件与本项目名称一致</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有效期、授权有效期</w:t>
            </w:r>
          </w:p>
        </w:tc>
        <w:tc>
          <w:tcPr>
            <w:tcW w:type="dxa" w:w="3322"/>
          </w:tcPr>
          <w:p>
            <w:pPr>
              <w:pStyle w:val="null3"/>
            </w:pPr>
            <w:r>
              <w:rPr>
                <w:rFonts w:ascii="仿宋_GB2312" w:hAnsi="仿宋_GB2312" w:cs="仿宋_GB2312" w:eastAsia="仿宋_GB2312"/>
              </w:rPr>
              <w:t>文件递交截止之日起90日历日</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响应文件响应性</w:t>
            </w:r>
          </w:p>
        </w:tc>
        <w:tc>
          <w:tcPr>
            <w:tcW w:type="dxa" w:w="3322"/>
          </w:tcPr>
          <w:p>
            <w:pPr>
              <w:pStyle w:val="null3"/>
            </w:pPr>
            <w:r>
              <w:rPr>
                <w:rFonts w:ascii="仿宋_GB2312" w:hAnsi="仿宋_GB2312" w:cs="仿宋_GB2312" w:eastAsia="仿宋_GB2312"/>
              </w:rPr>
              <w:t>服务期限响应文件要求</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法律、法规和招标文件规定的其他 无效投标情形</w:t>
            </w:r>
          </w:p>
        </w:tc>
        <w:tc>
          <w:tcPr>
            <w:tcW w:type="dxa" w:w="3322"/>
          </w:tcPr>
          <w:p>
            <w:pPr>
              <w:pStyle w:val="null3"/>
            </w:pPr>
            <w:r>
              <w:rPr>
                <w:rFonts w:ascii="仿宋_GB2312" w:hAnsi="仿宋_GB2312" w:cs="仿宋_GB2312" w:eastAsia="仿宋_GB2312"/>
              </w:rPr>
              <w:t>无法律、法规和招标文件规定的其他无效投标 情形</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技术方案科学性</w:t>
            </w:r>
          </w:p>
        </w:tc>
        <w:tc>
          <w:tcPr>
            <w:tcW w:type="dxa" w:w="2492"/>
          </w:tcPr>
          <w:p>
            <w:pPr>
              <w:pStyle w:val="null3"/>
            </w:pPr>
            <w:r>
              <w:rPr>
                <w:rFonts w:ascii="仿宋_GB2312" w:hAnsi="仿宋_GB2312" w:cs="仿宋_GB2312" w:eastAsia="仿宋_GB2312"/>
              </w:rPr>
              <w:t>针对本项目技术方案科学性，内容包括但不限于①遵循法规与标准的严谨性②基础资料的真实性与完整性③分析方法的适用性与科学性④评价内容的全面性与针对性⑤合理性与依据性⑥成果输出的准确性与实用性⑦不确定性分析的客观性⑧技术创新的适用性与成熟度等内容，方案内容详细完整、针对性强、可行性高，符合项目实际要求。每项满分 2分，缺项不得分，每项内容存在 缺陷，扣1分。 缺陷是指内 容不合理、虽有内容但不完善、内容表述前后不一致、套用其他项目方案或与项目需求不匹配及其他不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技术路线先进性</w:t>
            </w:r>
          </w:p>
        </w:tc>
        <w:tc>
          <w:tcPr>
            <w:tcW w:type="dxa" w:w="2492"/>
          </w:tcPr>
          <w:p>
            <w:pPr>
              <w:pStyle w:val="null3"/>
            </w:pPr>
            <w:r>
              <w:rPr>
                <w:rFonts w:ascii="仿宋_GB2312" w:hAnsi="仿宋_GB2312" w:cs="仿宋_GB2312" w:eastAsia="仿宋_GB2312"/>
              </w:rPr>
              <w:t>针对本项目技术路线先进性，内容包括但不限于①前沿技术融合的深度②数字化技术应用广度③实时监测技术的整合度④多源数据融合能力⑤数值模拟技术的精度提升⑥智能化成果交付形式⑦技术路线的可扩展性设计⑧行业技术规范的前瞻性适配等内容方案内容详细完整、针对性强、可行性 高，符合项目实际要求。每项满分 2分，缺项不得分，每项内容存在 缺陷，扣1分。 缺陷是指内 容不合理、虽有内容但不完善、内容表述前后不一致、套用其他项目 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质量保障与进度控制</w:t>
            </w:r>
          </w:p>
        </w:tc>
        <w:tc>
          <w:tcPr>
            <w:tcW w:type="dxa" w:w="2492"/>
          </w:tcPr>
          <w:p>
            <w:pPr>
              <w:pStyle w:val="null3"/>
            </w:pPr>
            <w:r>
              <w:rPr>
                <w:rFonts w:ascii="仿宋_GB2312" w:hAnsi="仿宋_GB2312" w:cs="仿宋_GB2312" w:eastAsia="仿宋_GB2312"/>
              </w:rPr>
              <w:t>针对本项目质量保障与进度控制，内容包括但不限于①建立全流程质量管控体系②制定分级进度计划与节点管控③实施技术复核与专家论证制度④进度风险预警与应对预案⑤质量与进度的协同监督机制⑥成果归档与进度追溯管理等内容，方案内容详细完整、针对性强、可行性高，符合项目实际要求。 每项满分 2分，缺项不得分，每项内容存在 缺陷，扣1分。 缺陷是指内容不合理、虽有内容但不完善、内容表述前后不一致、套用其他项目方案或与项目需求不匹配及其他不利于项目实施的任意一种情形。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服务保障与交付能力</w:t>
            </w:r>
          </w:p>
        </w:tc>
        <w:tc>
          <w:tcPr>
            <w:tcW w:type="dxa" w:w="2492"/>
          </w:tcPr>
          <w:p>
            <w:pPr>
              <w:pStyle w:val="null3"/>
            </w:pPr>
            <w:r>
              <w:rPr>
                <w:rFonts w:ascii="仿宋_GB2312" w:hAnsi="仿宋_GB2312" w:cs="仿宋_GB2312" w:eastAsia="仿宋_GB2312"/>
              </w:rPr>
              <w:t>对本项目服务保障与交付能力，内容包括但不限于①技术服务响应时效②成果交付规范与完整性③数据安全与保密合规④培训与知识转移落地等内容，方案内容详细完整、针对性强、可行性高，符合项目实际要求。每项满分 2分，缺项不得分，每项内容存在 缺陷，扣1分。 缺陷是指内 容不合理、虽有内容但不完善、内容表述前后不一致、套用其他项目方案或与项目需求不匹配及其他不 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应急技术预案</w:t>
            </w:r>
          </w:p>
        </w:tc>
        <w:tc>
          <w:tcPr>
            <w:tcW w:type="dxa" w:w="2492"/>
          </w:tcPr>
          <w:p>
            <w:pPr>
              <w:pStyle w:val="null3"/>
            </w:pPr>
            <w:r>
              <w:rPr>
                <w:rFonts w:ascii="仿宋_GB2312" w:hAnsi="仿宋_GB2312" w:cs="仿宋_GB2312" w:eastAsia="仿宋_GB2312"/>
              </w:rPr>
              <w:t>针对本项目应急技术预案，内容包括但不限于①构建分级应急响应机制②保障应急资源与技术储备③实施应急演练与培训制度④建立多方协同联动机制等内容方案内容详细完整、针对性强、可行性高，符合项目实际要求。每项满分2分，缺项不得分，每项内容存在缺陷扣1分。 缺陷是指内 容不合理、虽有内容但不完善、内 容表述前后不一致、套用其他项目方案或与项目需求不匹配及其他不利于项目实施的任意一种情形。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供应商2023年2月至今类似项 目业绩，每提供1个有效业绩得2分 , 满分10分。（附完整合同复印件 并加盖供应商公章，未提供或提供 不完整或不清晰均不得分。）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 30 分。其他供应商的价格分统一按照下列公式计算：投标报价得分 =（评标基准价 / 投标报价）×30×100%（计算结果保留两位小数）。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