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版本号：NBC-2026-ZFCS-G-3420260416001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大程镇关中环线人行道提升改造项目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NBC-2026-ZFCS-G-34</w:t>
      </w:r>
      <w:r>
        <w:br/>
      </w:r>
      <w:r>
        <w:br/>
      </w:r>
      <w:r>
        <w:br/>
      </w:r>
    </w:p>
    <w:p>
      <w:pPr>
        <w:pStyle w:val="null3"/>
        <w:jc w:val="center"/>
        <w:outlineLvl w:val="2"/>
      </w:pPr>
      <w:r>
        <w:rPr>
          <w:rFonts w:ascii="仿宋_GB2312" w:hAnsi="仿宋_GB2312" w:cs="仿宋_GB2312" w:eastAsia="仿宋_GB2312"/>
          <w:sz w:val="28"/>
          <w:b/>
        </w:rPr>
        <w:t>三原县大程镇人民政府</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三原县大程镇人民政府</w:t>
      </w:r>
      <w:r>
        <w:rPr>
          <w:rFonts w:ascii="仿宋_GB2312" w:hAnsi="仿宋_GB2312" w:cs="仿宋_GB2312" w:eastAsia="仿宋_GB2312"/>
        </w:rPr>
        <w:t>委托，拟对</w:t>
      </w:r>
      <w:r>
        <w:rPr>
          <w:rFonts w:ascii="仿宋_GB2312" w:hAnsi="仿宋_GB2312" w:cs="仿宋_GB2312" w:eastAsia="仿宋_GB2312"/>
        </w:rPr>
        <w:t>大程镇关中环线人行道提升改造项目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NBC-2026-ZFCS-G-34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大程镇关中环线人行道提升改造项目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本项目涉及改造提升人行道1360m,包括人行道铺装6353.82㎡，更换路缘石1607.2m，树坑石1712.73m以及旧人行道、路缘石、树坑石、绿化拆除工程等。具体详见工程量清单及图纸。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采购包1（大程镇关中环线人行道提升改造项目）：属于专门面向中小企业采购。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1、有效的主体资格证明：供应商应具有独立承担民事责任能力的法人、其他组织或自然人，法人、其他组织须提供合法有效的统一社会信用代码营业执照等证明资料，自然人须提供身份证明。</w:t>
      </w:r>
    </w:p>
    <w:p>
      <w:pPr>
        <w:pStyle w:val="null3"/>
      </w:pPr>
      <w:r>
        <w:rPr>
          <w:rFonts w:ascii="仿宋_GB2312" w:hAnsi="仿宋_GB2312" w:cs="仿宋_GB2312" w:eastAsia="仿宋_GB2312"/>
        </w:rPr>
        <w:t>2、法定代表人授权委托书：法定代表人授权委托书及被授权人身份证（法定代表人参加投标的，提供法定代表人（单位负责人）身份证明及身份；法定代表人授权他人参加投标的，提供法定代表人委托授权书及被授权代表的身份证）符合磋商文件要求。磋商文件中凡是需要法定代表人签字或盖章之处，非法人单位的负责人均参照执行。</w:t>
      </w:r>
    </w:p>
    <w:p>
      <w:pPr>
        <w:pStyle w:val="null3"/>
      </w:pPr>
      <w:r>
        <w:rPr>
          <w:rFonts w:ascii="仿宋_GB2312" w:hAnsi="仿宋_GB2312" w:cs="仿宋_GB2312" w:eastAsia="仿宋_GB2312"/>
        </w:rPr>
        <w:t>3、财务状况报告：提供2024年或2025年度经审计的财务审计报告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4、税收缴纳证明材料：供应商需提供递交响应文件截止时间前12个月内任意一个月缴纳税收的凭据或完税证明，凭据应有税务机关或代收机关的公章或业务专用章；依法免税的供应商应提供相关文件证明；</w:t>
      </w:r>
    </w:p>
    <w:p>
      <w:pPr>
        <w:pStyle w:val="null3"/>
      </w:pPr>
      <w:r>
        <w:rPr>
          <w:rFonts w:ascii="仿宋_GB2312" w:hAnsi="仿宋_GB2312" w:cs="仿宋_GB2312" w:eastAsia="仿宋_GB2312"/>
        </w:rPr>
        <w:t>5、社会保障资金缴纳证明： （1）提供供应商自投标截止日期前6个月以来已缴存的任意时段的社会保障资金缴存单据或社保机构开具的社会保险参保缴费情况证明；（2）依法不需要缴纳社会保障资金的供应商应提供相关文件证明；（3）新成立未发生缴纳社保资金事项的供应商，应提供缴纳社保资金的书面承诺；</w:t>
      </w:r>
    </w:p>
    <w:p>
      <w:pPr>
        <w:pStyle w:val="null3"/>
      </w:pPr>
      <w:r>
        <w:rPr>
          <w:rFonts w:ascii="仿宋_GB2312" w:hAnsi="仿宋_GB2312" w:cs="仿宋_GB2312" w:eastAsia="仿宋_GB2312"/>
        </w:rPr>
        <w:t>6、参加政府采购活动前3年内无重大违法记录：供应商参加政府采购活动前 3 年内在经营活动中没有重大违法记录的书面声明书</w:t>
      </w:r>
    </w:p>
    <w:p>
      <w:pPr>
        <w:pStyle w:val="null3"/>
      </w:pPr>
      <w:r>
        <w:rPr>
          <w:rFonts w:ascii="仿宋_GB2312" w:hAnsi="仿宋_GB2312" w:cs="仿宋_GB2312" w:eastAsia="仿宋_GB2312"/>
        </w:rPr>
        <w:t>7、履行合同所必需的设备和专业技术能力：具有履行合同所必需的设备和专业技术能力的声明函</w:t>
      </w:r>
    </w:p>
    <w:p>
      <w:pPr>
        <w:pStyle w:val="null3"/>
      </w:pPr>
      <w:r>
        <w:rPr>
          <w:rFonts w:ascii="仿宋_GB2312" w:hAnsi="仿宋_GB2312" w:cs="仿宋_GB2312" w:eastAsia="仿宋_GB2312"/>
        </w:rPr>
        <w:t>8、供应商资质要求：供应商具有建设行政主管部门核发的市政公用工程施工总承包三级（含三级）及以上资质，且具备有效的安全生产许可证。</w:t>
      </w:r>
    </w:p>
    <w:p>
      <w:pPr>
        <w:pStyle w:val="null3"/>
      </w:pPr>
      <w:r>
        <w:rPr>
          <w:rFonts w:ascii="仿宋_GB2312" w:hAnsi="仿宋_GB2312" w:cs="仿宋_GB2312" w:eastAsia="仿宋_GB2312"/>
        </w:rPr>
        <w:t>9、项目经理资格要求：拟派项目经理须具备市政公用工程专业二级（含二级）及以上注册建造师执业资格和有效的安全生产考核合格证书，且未担任其他在建工程的项目经理。</w:t>
      </w:r>
    </w:p>
    <w:p>
      <w:pPr>
        <w:pStyle w:val="null3"/>
      </w:pPr>
      <w:r>
        <w:rPr>
          <w:rFonts w:ascii="仿宋_GB2312" w:hAnsi="仿宋_GB2312" w:cs="仿宋_GB2312" w:eastAsia="仿宋_GB2312"/>
        </w:rPr>
        <w:t>10、供应商及项目经理基本信息：供应商及项目经理基本信息须在“陕西省建设网”可查询</w:t>
      </w:r>
    </w:p>
    <w:p>
      <w:pPr>
        <w:pStyle w:val="null3"/>
      </w:pPr>
      <w:r>
        <w:rPr>
          <w:rFonts w:ascii="仿宋_GB2312" w:hAnsi="仿宋_GB2312" w:cs="仿宋_GB2312" w:eastAsia="仿宋_GB2312"/>
        </w:rPr>
        <w:t>11、信用信息：供应商不得为《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三原县大程镇人民政府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陕西省咸阳市三原县大程镇东刘村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乔兆建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029-32462123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陕西省西安市曲江新区南三环辅路以南曲江文创中心7幢1单元1701号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13032959385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采购包1：2,731,695.64元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代理服务费收费标准：参照国家计委颁布的《招标代理服务收费管理暂行办法》（计价格〔2002〕1980号）、发改办价格〔2003〕857号、发改价格〔2011〕534号及发改价格〔2015〕299号文件规定按标准收取。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三原县大程镇人民政府</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三原县大程镇人民政府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三原县大程镇人民政府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达到设计要求及工程施工质量验收合格标准，满足项目要求。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联系人：武鲍华</w:t>
      </w:r>
    </w:p>
    <w:p>
      <w:pPr>
        <w:pStyle w:val="null3"/>
      </w:pPr>
      <w:r>
        <w:rPr>
          <w:rFonts w:ascii="仿宋_GB2312" w:hAnsi="仿宋_GB2312" w:cs="仿宋_GB2312" w:eastAsia="仿宋_GB2312"/>
        </w:rPr>
        <w:t>联系电话：13032959385</w:t>
      </w:r>
    </w:p>
    <w:p>
      <w:pPr>
        <w:pStyle w:val="null3"/>
      </w:pPr>
      <w:r>
        <w:rPr>
          <w:rFonts w:ascii="仿宋_GB2312" w:hAnsi="仿宋_GB2312" w:cs="仿宋_GB2312" w:eastAsia="仿宋_GB2312"/>
        </w:rPr>
        <w:t>地址：陕西省西安市曲江新区南三环辅路以南曲江文创中心7幢1单元1701号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2,731,695.64</w:t>
      </w:r>
    </w:p>
    <w:p>
      <w:pPr>
        <w:pStyle w:val="null3"/>
      </w:pPr>
      <w:r>
        <w:rPr>
          <w:rFonts w:ascii="仿宋_GB2312" w:hAnsi="仿宋_GB2312" w:cs="仿宋_GB2312" w:eastAsia="仿宋_GB2312"/>
        </w:rPr>
        <w:t>采购包最高限价（元）: 2,731,695.64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大程镇关中环线人行道提升改造项目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2,731,695.64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标的名称：大程镇关中环线人行道提升改造项目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60"/>
              <w:gridCol w:w="168"/>
              <w:gridCol w:w="168"/>
              <w:gridCol w:w="168"/>
              <w:gridCol w:w="842"/>
              <w:gridCol w:w="303"/>
              <w:gridCol w:w="303"/>
              <w:gridCol w:w="102"/>
              <w:gridCol w:w="102"/>
              <w:gridCol w:w="132"/>
              <w:gridCol w:w="132"/>
              <w:gridCol w:w="132"/>
            </w:tblGrid>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rPr>
                    <w:t>序号</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项目编码</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rPr>
                    <w:t>项目特征描述</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rPr>
                    <w:t>计量</w:t>
                  </w:r>
                  <w:r>
                    <w:br/>
                  </w:r>
                  <w:r>
                    <w:rPr>
                      <w:rFonts w:ascii="仿宋_GB2312" w:hAnsi="仿宋_GB2312" w:cs="仿宋_GB2312" w:eastAsia="仿宋_GB2312"/>
                    </w:rPr>
                    <w:t xml:space="preserve"> 单位</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rPr>
                    <w:t>工程数量</w:t>
                  </w:r>
                </w:p>
              </w:tc>
            </w:tr>
            <w:tr>
              <w:tc>
                <w:tcPr>
                  <w:tcW w:type="dxa" w:w="2812"/>
                  <w:gridSpan w:val="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拆除工程</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041001002001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拆除人行道</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1.材质 :广场砖</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6353.82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041001005001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拆除侧、平 (缘)石</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:混凝土路缘石</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3319.93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041001003001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拆除基层</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:混凝土垫</w:t>
                  </w:r>
                  <w:r>
                    <w:br/>
                  </w:r>
                  <w:r>
                    <w:rPr>
                      <w:rFonts w:ascii="仿宋_GB2312" w:hAnsi="仿宋_GB2312" w:cs="仿宋_GB2312" w:eastAsia="仿宋_GB2312"/>
                      <w:sz w:val="18"/>
                      <w:color w:val="000000"/>
                    </w:rPr>
                    <w:t>层（无筋）</w:t>
                  </w:r>
                  <w:r>
                    <w:br/>
                  </w:r>
                  <w:r>
                    <w:rPr>
                      <w:rFonts w:ascii="仿宋_GB2312" w:hAnsi="仿宋_GB2312" w:cs="仿宋_GB2312" w:eastAsia="仿宋_GB2312"/>
                      <w:sz w:val="18"/>
                      <w:color w:val="000000"/>
                    </w:rPr>
                    <w:t>2.厚度 :8cm</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6353.82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041001003004</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拆除基层</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1.材质 :灰土垫层</w:t>
                  </w:r>
                  <w:r>
                    <w:br/>
                  </w:r>
                  <w:r>
                    <w:rPr>
                      <w:rFonts w:ascii="仿宋_GB2312" w:hAnsi="仿宋_GB2312" w:cs="仿宋_GB2312" w:eastAsia="仿宋_GB2312"/>
                      <w:sz w:val="18"/>
                      <w:color w:val="000000"/>
                    </w:rPr>
                    <w:t>2.厚度 :20cm</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6353.82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050103009001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拆除植物</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1.挖除现状灌木</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766.32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050101005001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整理绿化用地</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1.整理绿化用地</w:t>
                  </w:r>
                  <w:r>
                    <w:br/>
                  </w:r>
                  <w:r>
                    <w:rPr>
                      <w:rFonts w:ascii="仿宋_GB2312" w:hAnsi="仿宋_GB2312" w:cs="仿宋_GB2312" w:eastAsia="仿宋_GB2312"/>
                      <w:sz w:val="18"/>
                      <w:color w:val="000000"/>
                    </w:rPr>
                    <w:t>2.厚度 : ±30cm 以内</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766.32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040103005001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拆除垃圾及砍伐绿化苗木弃置</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1.场内运输、废渣</w:t>
                  </w:r>
                  <w:r>
                    <w:br/>
                  </w:r>
                  <w:r>
                    <w:rPr>
                      <w:rFonts w:ascii="仿宋_GB2312" w:hAnsi="仿宋_GB2312" w:cs="仿宋_GB2312" w:eastAsia="仿宋_GB2312"/>
                      <w:sz w:val="18"/>
                      <w:color w:val="000000"/>
                    </w:rPr>
                    <w:t>清理成堆</w:t>
                  </w:r>
                  <w:r>
                    <w:br/>
                  </w:r>
                  <w:r>
                    <w:rPr>
                      <w:rFonts w:ascii="仿宋_GB2312" w:hAnsi="仿宋_GB2312" w:cs="仿宋_GB2312" w:eastAsia="仿宋_GB2312"/>
                      <w:sz w:val="18"/>
                      <w:color w:val="000000"/>
                    </w:rPr>
                    <w:t>2.含装车、弃置等</w:t>
                  </w:r>
                  <w:r>
                    <w:br/>
                  </w:r>
                  <w:r>
                    <w:rPr>
                      <w:rFonts w:ascii="仿宋_GB2312" w:hAnsi="仿宋_GB2312" w:cs="仿宋_GB2312" w:eastAsia="仿宋_GB2312"/>
                      <w:sz w:val="18"/>
                      <w:color w:val="000000"/>
                    </w:rPr>
                    <w:t>所有费用</w:t>
                  </w:r>
                  <w:r>
                    <w:br/>
                  </w:r>
                  <w:r>
                    <w:rPr>
                      <w:rFonts w:ascii="仿宋_GB2312" w:hAnsi="仿宋_GB2312" w:cs="仿宋_GB2312" w:eastAsia="仿宋_GB2312"/>
                      <w:sz w:val="18"/>
                      <w:color w:val="000000"/>
                    </w:rPr>
                    <w:t>3. 以自然方计入</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2553.24 </w:t>
                  </w:r>
                </w:p>
              </w:tc>
            </w:tr>
            <w:tr>
              <w:tc>
                <w:tcPr>
                  <w:tcW w:type="dxa" w:w="2812"/>
                  <w:gridSpan w:val="1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新建工程</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040204001001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人行道块料铺设</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1.235*115*50mm</w:t>
                  </w:r>
                  <w:r>
                    <w:br/>
                  </w:r>
                  <w:r>
                    <w:rPr>
                      <w:rFonts w:ascii="仿宋_GB2312" w:hAnsi="仿宋_GB2312" w:cs="仿宋_GB2312" w:eastAsia="仿宋_GB2312"/>
                      <w:sz w:val="18"/>
                      <w:color w:val="000000"/>
                    </w:rPr>
                    <w:t>厚陶砖（青色、红</w:t>
                  </w:r>
                  <w:r>
                    <w:br/>
                  </w:r>
                  <w:r>
                    <w:rPr>
                      <w:rFonts w:ascii="仿宋_GB2312" w:hAnsi="仿宋_GB2312" w:cs="仿宋_GB2312" w:eastAsia="仿宋_GB2312"/>
                      <w:sz w:val="18"/>
                      <w:color w:val="000000"/>
                    </w:rPr>
                    <w:t>色、盲道）</w:t>
                  </w:r>
                  <w:r>
                    <w:br/>
                  </w:r>
                  <w:r>
                    <w:rPr>
                      <w:rFonts w:ascii="仿宋_GB2312" w:hAnsi="仿宋_GB2312" w:cs="仿宋_GB2312" w:eastAsia="仿宋_GB2312"/>
                      <w:sz w:val="18"/>
                      <w:color w:val="000000"/>
                    </w:rPr>
                    <w:t>2.30mm厚水泥砂浆</w:t>
                  </w:r>
                  <w:r>
                    <w:br/>
                  </w:r>
                  <w:r>
                    <w:rPr>
                      <w:rFonts w:ascii="仿宋_GB2312" w:hAnsi="仿宋_GB2312" w:cs="仿宋_GB2312" w:eastAsia="仿宋_GB2312"/>
                      <w:sz w:val="18"/>
                      <w:color w:val="000000"/>
                    </w:rPr>
                    <w:t>3.80mm厚C25混凝</w:t>
                  </w:r>
                  <w:r>
                    <w:rPr>
                      <w:rFonts w:ascii="仿宋_GB2312" w:hAnsi="仿宋_GB2312" w:cs="仿宋_GB2312" w:eastAsia="仿宋_GB2312"/>
                      <w:sz w:val="18"/>
                      <w:color w:val="000000"/>
                    </w:rPr>
                    <w:t>土</w:t>
                  </w:r>
                  <w:r>
                    <w:br/>
                  </w:r>
                  <w:r>
                    <w:rPr>
                      <w:rFonts w:ascii="仿宋_GB2312" w:hAnsi="仿宋_GB2312" w:cs="仿宋_GB2312" w:eastAsia="仿宋_GB2312"/>
                      <w:sz w:val="18"/>
                      <w:color w:val="000000"/>
                    </w:rPr>
                    <w:t>4.200mm厚3 :7灰</w:t>
                  </w:r>
                  <w:r>
                    <w:br/>
                  </w:r>
                  <w:r>
                    <w:rPr>
                      <w:rFonts w:ascii="仿宋_GB2312" w:hAnsi="仿宋_GB2312" w:cs="仿宋_GB2312" w:eastAsia="仿宋_GB2312"/>
                      <w:sz w:val="18"/>
                      <w:color w:val="000000"/>
                    </w:rPr>
                    <w:t>土垫层</w:t>
                  </w:r>
                  <w:r>
                    <w:br/>
                  </w:r>
                  <w:r>
                    <w:rPr>
                      <w:rFonts w:ascii="仿宋_GB2312" w:hAnsi="仿宋_GB2312" w:cs="仿宋_GB2312" w:eastAsia="仿宋_GB2312"/>
                      <w:sz w:val="18"/>
                      <w:color w:val="000000"/>
                    </w:rPr>
                    <w:t>5.道路床整形</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6353.82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040204004001</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安砌侧(平、缘)石</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1.800*350*120芝</w:t>
                  </w:r>
                  <w:r>
                    <w:br/>
                  </w:r>
                  <w:r>
                    <w:rPr>
                      <w:rFonts w:ascii="仿宋_GB2312" w:hAnsi="仿宋_GB2312" w:cs="仿宋_GB2312" w:eastAsia="仿宋_GB2312"/>
                      <w:sz w:val="18"/>
                      <w:color w:val="000000"/>
                    </w:rPr>
                    <w:t>麻灰花岗岩道沿</w:t>
                  </w:r>
                  <w:r>
                    <w:br/>
                  </w:r>
                  <w:r>
                    <w:rPr>
                      <w:rFonts w:ascii="仿宋_GB2312" w:hAnsi="仿宋_GB2312" w:cs="仿宋_GB2312" w:eastAsia="仿宋_GB2312"/>
                      <w:sz w:val="18"/>
                      <w:color w:val="000000"/>
                    </w:rPr>
                    <w:t>2.100mm厚C20混</w:t>
                  </w:r>
                  <w:r>
                    <w:br/>
                  </w:r>
                  <w:r>
                    <w:rPr>
                      <w:rFonts w:ascii="仿宋_GB2312" w:hAnsi="仿宋_GB2312" w:cs="仿宋_GB2312" w:eastAsia="仿宋_GB2312"/>
                      <w:sz w:val="18"/>
                      <w:color w:val="000000"/>
                    </w:rPr>
                    <w:t>凝土垫层</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1607.2 </w:t>
                  </w:r>
                </w:p>
              </w:tc>
            </w:tr>
            <w:tr>
              <w:tc>
                <w:tcPr>
                  <w:tcW w:type="dxa" w:w="2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5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040204004002</w:t>
                  </w:r>
                </w:p>
              </w:tc>
              <w:tc>
                <w:tcPr>
                  <w:tcW w:type="dxa" w:w="8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安砌侧(平、缘)石</w:t>
                  </w:r>
                </w:p>
              </w:tc>
              <w:tc>
                <w:tcPr>
                  <w:tcW w:type="dxa" w:w="60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1.750*350*100芝</w:t>
                  </w:r>
                  <w:r>
                    <w:br/>
                  </w:r>
                  <w:r>
                    <w:rPr>
                      <w:rFonts w:ascii="仿宋_GB2312" w:hAnsi="仿宋_GB2312" w:cs="仿宋_GB2312" w:eastAsia="仿宋_GB2312"/>
                      <w:sz w:val="18"/>
                      <w:color w:val="000000"/>
                    </w:rPr>
                    <w:t>麻灰花岗岩道沿</w:t>
                  </w:r>
                  <w:r>
                    <w:br/>
                  </w:r>
                  <w:r>
                    <w:rPr>
                      <w:rFonts w:ascii="仿宋_GB2312" w:hAnsi="仿宋_GB2312" w:cs="仿宋_GB2312" w:eastAsia="仿宋_GB2312"/>
                      <w:sz w:val="18"/>
                      <w:color w:val="000000"/>
                    </w:rPr>
                    <w:t>2.100mm厚C20混</w:t>
                  </w:r>
                  <w:r>
                    <w:br/>
                  </w:r>
                  <w:r>
                    <w:rPr>
                      <w:rFonts w:ascii="仿宋_GB2312" w:hAnsi="仿宋_GB2312" w:cs="仿宋_GB2312" w:eastAsia="仿宋_GB2312"/>
                      <w:sz w:val="18"/>
                      <w:color w:val="000000"/>
                    </w:rPr>
                    <w:t>凝土垫层</w:t>
                  </w:r>
                </w:p>
              </w:tc>
              <w:tc>
                <w:tcPr>
                  <w:tcW w:type="dxa" w:w="20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1712.73 </w:t>
                  </w:r>
                </w:p>
              </w:tc>
            </w:tr>
          </w:tbl>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严格执行现行国家、行业及地方相关设 计、施工规范与技术标准，工程质量达到合格 等级，满足验收合格要求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本项目技术标准执行本项目设计文件及国家、陕西省相关规范、标准。 本工程的施工过程和成果必须同时符合国家有关工程建设标准强制性条文和国家或有关部门关于工程施工方面现行的标准、规范、规程、定额、办法、示例，以及陕西省关于工程施工方面的文件、规定及设计文件的要求。 承包人在施工过程中使用或参考上述标准、规范以外的技术标准、规范时，应征得业主或业主指定代表人的同意。在施工过程中，如果国家或有关部门颁布了新的技术标准或规范，则承包人应采用新的标准或规范进行施工。 2）、施工范围：施工图纸及工程量清单中全部内容。直至竣工验收合格并整体移交、工程保修期内的缺陷修复和保修工作。同时承担相关协调工作。 3）、设备及材料选用:工程所用设备及材料应在满足使用功能的基础上，按照经济合理的原则进行选择。 4）、工程涉及的劳动安全、节能、环保、消防等应严格按照国家有关法规执行。 5）、工期：40日历天； 6）、质量标准：达到国家施工验收规范“合格”标准。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最高限价编制说明 一、最高限价编制依据：1、依据信宇腾远规划设计有限公司编制的《大程镇关中环线人行道提升改造项目》施工图设计。 2.依据《陕西省建设工程费用规则》（2025）、陕西省建设工程工程量清单计价计算标准（2025）、《陕西省房屋建筑与装饰工程消耗量定额》（2025）、《陕西省通用安装工程消耗量定额》（2025）、《陕西省市政工程消耗量定额》（2025）、《陕西省园林绿化工程消耗量定额》（2025）及其他相关的计价依据和办法。 二、其他有关问题的说明 1.本工程所用砼均采用商品混凝土、预拌砂浆考虑。 2.本项目材料依据《咸阳市材料信息价》第六期计列，信息价中没有的材料按市场询价计列。 3.暂列金：36700元。 4.本工程计价软件采用广联达计价软件GCCP7.0（版本：7.5000.23.2）。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与大企业的负责人为同一人，或者与大企业存在直接控股、管理关系的不得参加本项目政府采购活动；供应商需在项目电子化交易系统中按要求填写《响应函》完成承诺并进行电子签章。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供应商应具有独立承担民事责任能力的法人、其他组织或自然人，法人、其他组织须提供合法有效的统一社会信用代码营业执照等证明资料，自然人须提供身份证明。</w:t>
            </w:r>
          </w:p>
        </w:tc>
        <w:tc>
          <w:tcPr>
            <w:tcW w:type="dxa" w:w="1661"/>
          </w:tcPr>
          <w:p>
            <w:pPr>
              <w:pStyle w:val="null3"/>
            </w:pPr>
            <w:r>
              <w:rPr>
                <w:rFonts w:ascii="仿宋_GB2312" w:hAnsi="仿宋_GB2312" w:cs="仿宋_GB2312" w:eastAsia="仿宋_GB2312"/>
              </w:rPr>
              <w:t>资格证明文件材料.docx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及被授权人身份证（法定代表人参加投标的，提供法定代表人（单位负责人）身份证明及身份；法定代表人授权他人参加投标的，提供法定代表人委托授权书及被授权代表的身份证）符合磋商文件要求。磋商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税收缴纳证明材料</w:t>
            </w:r>
          </w:p>
        </w:tc>
        <w:tc>
          <w:tcPr>
            <w:tcW w:type="dxa" w:w="3322"/>
          </w:tcPr>
          <w:p>
            <w:pPr>
              <w:pStyle w:val="null3"/>
            </w:pPr>
            <w:r>
              <w:rPr>
                <w:rFonts w:ascii="仿宋_GB2312" w:hAnsi="仿宋_GB2312" w:cs="仿宋_GB2312" w:eastAsia="仿宋_GB2312"/>
              </w:rPr>
              <w:t>供应商需提供递交响应文件截止时间前12个月内任意一个月缴纳税收的凭据或完税证明，凭据应有税务机关或代收机关的公章或业务专用章；依法免税的供应商应提供相关文件证明；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 xml:space="preserve"> （1）提供供应商自投标截止日期前6个月以来已缴存的任意时段的社会保障资金缴存单据或社保机构开具的社会保险参保缴费情况证明；（2）依法不需要缴纳社会保障资金的供应商应提供相关文件证明；（3）新成立未发生缴纳社保资金事项的供应商，应提供缴纳社保资金的书面承诺；</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参加政府采购活动前3年内无重大违法记录</w:t>
            </w:r>
          </w:p>
        </w:tc>
        <w:tc>
          <w:tcPr>
            <w:tcW w:type="dxa" w:w="3322"/>
          </w:tcPr>
          <w:p>
            <w:pPr>
              <w:pStyle w:val="null3"/>
            </w:pPr>
            <w:r>
              <w:rPr>
                <w:rFonts w:ascii="仿宋_GB2312" w:hAnsi="仿宋_GB2312" w:cs="仿宋_GB2312" w:eastAsia="仿宋_GB2312"/>
              </w:rPr>
              <w:t>供应商参加政府采购活动前 3 年内在经营活动中没有重大违法记录的书面声明书</w:t>
            </w:r>
          </w:p>
        </w:tc>
        <w:tc>
          <w:tcPr>
            <w:tcW w:type="dxa" w:w="1661"/>
          </w:tcPr>
          <w:p>
            <w:pPr>
              <w:pStyle w:val="null3"/>
            </w:pPr>
            <w:r>
              <w:rPr>
                <w:rFonts w:ascii="仿宋_GB2312" w:hAnsi="仿宋_GB2312" w:cs="仿宋_GB2312" w:eastAsia="仿宋_GB2312"/>
              </w:rPr>
              <w:t>资格证明文件材料.docx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具有履行合同所必需的设备和专业技术能力的声明函</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供应商具有建设行政主管部门核发的市政公用工程施工总承包三级（含三级）及以上资质，且具备有效的安全生产许可证。</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拟派项目经理须具备市政公用工程专业二级（含二级）及以上注册建造师执业资格和有效的安全生产考核合格证书，且未担任其他在建工程的项目经理。</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供应商及项目经理基本信息</w:t>
            </w:r>
          </w:p>
        </w:tc>
        <w:tc>
          <w:tcPr>
            <w:tcW w:type="dxa" w:w="3322"/>
          </w:tcPr>
          <w:p>
            <w:pPr>
              <w:pStyle w:val="null3"/>
            </w:pPr>
            <w:r>
              <w:rPr>
                <w:rFonts w:ascii="仿宋_GB2312" w:hAnsi="仿宋_GB2312" w:cs="仿宋_GB2312" w:eastAsia="仿宋_GB2312"/>
              </w:rPr>
              <w:t>供应商及项目经理基本信息须在“陕西省建设网”可查询</w:t>
            </w:r>
          </w:p>
        </w:tc>
        <w:tc>
          <w:tcPr>
            <w:tcW w:type="dxa" w:w="1661"/>
          </w:tcPr>
          <w:p>
            <w:pPr>
              <w:pStyle w:val="null3"/>
            </w:pPr>
            <w:r>
              <w:rPr>
                <w:rFonts w:ascii="仿宋_GB2312" w:hAnsi="仿宋_GB2312" w:cs="仿宋_GB2312" w:eastAsia="仿宋_GB2312"/>
              </w:rPr>
              <w:t>资格证明文件材料.docx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资格证明文件材料.docx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已标价工程量清单 施工组织设计文件.docx 中小企业声明函 技术服务合同条款及其他商务要求应答表 响应文件封面 资格证明文件材料.docx 残疾人福利性单位声明函 报价函 标的清单 供应商类似项目业绩一览表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2.评审委员会基于专业判断，认为供应商报价过低，有可能影响产品质量或者不能诚信履约的其他情形供应商通过项目电子化交易系统在磋商小组要求的合理时间内提交说明，否则无效。 3.政府采购评审中出现下列情形之一的，评审委员会应当启动异常低价投标（响应）审查程序：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3.2.投标（响应）报价低于通过符合性审查的次低报价供应商投标（响应）报价50%的，即投标（响应）报价&lt;通过符合性审查的次低报价供应商投标（响应）报价×50%；3.3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应符合“响应文件格式”和响应文件要求</w:t>
            </w:r>
          </w:p>
        </w:tc>
        <w:tc>
          <w:tcPr>
            <w:tcW w:type="dxa" w:w="1661"/>
          </w:tcPr>
          <w:p>
            <w:pPr>
              <w:pStyle w:val="null3"/>
            </w:pPr>
            <w:r>
              <w:rPr>
                <w:rFonts w:ascii="仿宋_GB2312" w:hAnsi="仿宋_GB2312" w:cs="仿宋_GB2312" w:eastAsia="仿宋_GB2312"/>
              </w:rPr>
              <w:t>响应文件封面 已标价工程量清单 施工组织设计文件.docx 中小企业声明函 残疾人福利性单位声明函 报价函 技术服务合同条款及其他商务要求应答表 标的清单 供应商类似项目业绩一览表 响应函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付款条件</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w:t>
            </w:r>
          </w:p>
        </w:tc>
        <w:tc>
          <w:tcPr>
            <w:tcW w:type="dxa" w:w="1661"/>
          </w:tcPr>
          <w:p>
            <w:pPr>
              <w:pStyle w:val="null3"/>
            </w:pPr>
            <w:r>
              <w:rPr>
                <w:rFonts w:ascii="仿宋_GB2312" w:hAnsi="仿宋_GB2312" w:cs="仿宋_GB2312" w:eastAsia="仿宋_GB2312"/>
              </w:rPr>
              <w:t>已标价工程量清单 施工组织设计文件.docx 中小企业声明函 技术服务合同条款及其他商务要求应答表 强制优先采购产品承诺函 响应文件封面 资格证明文件材料.docx 残疾人福利性单位声明函 报价函 标的清单 供应商类似项目业绩一览表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 施工总体部署（3分）：方案科学合理，符合项目特点，工期安排紧凑，关键节点清晰，得3分；方案较合理，得2分；方案一般，得1分；无方案，0分。 2. 分部分项工程施工方案（6分）：2.1拆除工程（含垃圾清运、弃置）（2分）：方案安全、环保，扬尘、噪声防控措施到位，得2分；方案一般，得1分；无方案，0分。2.2人行道铺装工程（含基层处理、垫层、块料铺设）（2分）：工艺符合规范，质量控制措施完善，得2分；方案一般，得1分；无方案，0分。2.3道牙安装工程（2分）：安装精度、成品保护措施到位，得2分； 方案一般，得1分；无方案，0分。 3. 安全文明施工（3分）：安全管理体系健全，扬尘治理、临时防护、消防措施完善，符合当地环保要求，得3分；措施较完善，得2分；措施一般，得1分； 无措施，0分。 4. 季节性施工保障（3分）：针对雨季、高温等季节的施工保障措施完善，得3分；措施较完善，得2分；措施一般，得1分； 无措施，0分。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1、项目经理（2分）：二级注册建造师+中级及以上职称，并提供类似项目业绩，得2分；仅满足二级注册建造师+中级及以上职称，得1分。仅满足资格条件，未提供职称证不得分。 2. 技术负责人（3分）：具备市政相关专业高级及以上工程师职称，且有类似项目业绩，得3分；具备市政相关专业中级工程师职称，有类似项目业绩，得2分；仅中级及以上工程师职称，无类似业绩得1分。 3. 其他管理人员（4分）：施工员、质检员、安全员、资料员等岗位齐全，持证上岗，岗位职责明确得4分；岗位基本齐全，岗位职责未明确得2分；岗位缺失，得1分。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安全文明与环保措施</w:t>
            </w:r>
          </w:p>
        </w:tc>
        <w:tc>
          <w:tcPr>
            <w:tcW w:type="dxa" w:w="2492"/>
          </w:tcPr>
          <w:p>
            <w:pPr>
              <w:pStyle w:val="null3"/>
            </w:pPr>
            <w:r>
              <w:rPr>
                <w:rFonts w:ascii="仿宋_GB2312" w:hAnsi="仿宋_GB2312" w:cs="仿宋_GB2312" w:eastAsia="仿宋_GB2312"/>
              </w:rPr>
              <w:t>1. 安全管理（2分）：安全责任制、安全教育、安全检查制度完善，得2分；制度较完善，得1分；无制度，0分。 2. 文明施工（1分）：现场围挡、扬尘治理、噪声控制措施符合当地要求，得1分；措施一般，得0.5分；无措施，0分。 3. 环保措施（2分）：垃圾清运、弃置合规，水土保持、植被保护措施完善，得2分；措施一般，得1分；无措施，0分。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 质量目标（1分）：目标明确，符合合格标准，得1分；目标不明确，0分。 2. 质量控制体系（2分）：体系健全，三检制、原材料检验、隐蔽工程验收等制度完善，得2分；体系较健全，得1分；无体系，0分。 3. 质量通病防治（2分）：针对人行道空鼓、道牙倾斜、基层沉降等通病的防治措施完善，得2分；措施一般，得1分；无措施，0分。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1. 工期计划（2分）：总工期符合要求，进度计划细化到周，关键工序衔接合理，得2分；计划较合理，得1分；计划不合理，0分。 2. 保障措施（3分）：人员、机械、材料保障措施完善，有赶工预案，得3分；措施较完善，得2分；措施一般，得1分；无措施，0分。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1. 设备配置（2分）：挖掘机、切割机、压路机、摊铺机等设备齐全，施工机械搭配周全合理，满足施工需求，得2分；设备基本齐全，得1分；设备不足，0分。 2. 设备保障（2分）：设备维护、备用方案完善，得2分；方案一般，得1分；无方案，0分。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施工进度表、施工总平面布置图</w:t>
            </w:r>
          </w:p>
        </w:tc>
        <w:tc>
          <w:tcPr>
            <w:tcW w:type="dxa" w:w="2492"/>
          </w:tcPr>
          <w:p>
            <w:pPr>
              <w:pStyle w:val="null3"/>
            </w:pPr>
            <w:r>
              <w:rPr>
                <w:rFonts w:ascii="仿宋_GB2312" w:hAnsi="仿宋_GB2312" w:cs="仿宋_GB2312" w:eastAsia="仿宋_GB2312"/>
              </w:rPr>
              <w:t>1、施工总平面布置合理性与合规性（2分）：①施工总平面布置符合现场施工、安全、环保规范要求，施工区、材料堆放区、机械设备停放区、办公生活区、垃圾临时存放区等功能分区清晰，布局科学合理，互不干扰，贴合项目现场实际条件；得2分。②功能分区基本明确，布局基本合理，可满足现场施工基本需求。得1分。③功能分区混乱，布局不合理，不符合现场施工及规范要求；得0.5分。未提供不得分。 2、进度计划表完整性与合理性（2分）：① 施工进度计划完整覆盖项目全流程，包含拆除、基层施工、铺装、道牙安装、竣工验收等全部施工工序，工序逻辑清晰、衔接紧密，完全贴合项目工期要求。得2分。②进度计划基本覆盖主要施工工序，工序逻辑基本合理，可满足项目工期要求，无关键工序遗漏；得1分。③进度计划不完整，关键工序缺失，工序逻辑混乱；得0.5分。施工进度表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1. 劳动力总体配置（2分） ① 劳动力总量测算合理，按施工阶段（拆除、基层、铺装、道牙、收尾）分段配置，工种齐全、数量匹配工程量，满足工期要求；得2分。② 劳动力配置基本合理，工种基本齐全，能满足施工需求；得1分。③劳动力配置不足、工种缺失，无法保障施工进度；差（0.5分）。劳动力配置未提供，不得分。 2. 专业工种配置（2分） ①施工员、测量员、安全员、质检员、铺装工、普工、机械操作工等工种齐全，持证上岗情况明确；得2分。②主要工种齐全，部分岗位未明确持证情况； 得1分。③关键工种缺失或未列明； 得0.5分。专业工种配置未提供，不得分。 3. 劳动力进场计划与动态调整（2分） ①按施工节点明确各阶段进场人数，高峰期、关键工序劳动力保障措施完善，有动态调整预案；得2分。②有进场计划，调整措施一般；得1分。③无进场计划或无调整措施；得0.5分。劳动力进场计划与动态调整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具备ISO9001质量管理体系、ISO14001环境管理体系、ISO45001职业健康安全管理体系认证，每1项得1分，最高3分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提供近三年（自2023年4月1日至今）承接过类似项目的业绩，每提供一个得2.0分，满分6分（附真实有效的合同复印件加盖公章）未提供不得分。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售后服务与保修</w:t>
            </w:r>
          </w:p>
        </w:tc>
        <w:tc>
          <w:tcPr>
            <w:tcW w:type="dxa" w:w="2492"/>
          </w:tcPr>
          <w:p>
            <w:pPr>
              <w:pStyle w:val="null3"/>
            </w:pPr>
            <w:r>
              <w:rPr>
                <w:rFonts w:ascii="仿宋_GB2312" w:hAnsi="仿宋_GB2312" w:cs="仿宋_GB2312" w:eastAsia="仿宋_GB2312"/>
              </w:rPr>
              <w:t>1. 保修承诺（2分）：保修期符合国家规定（市政工程保修期1年及以上），承诺完善，得2分；承诺一般，得1分；无承诺，0分 2. 响应时效（1分）：故障响应时间≤24小时，有专人负责，得1分；响应时间&gt;24小时，得0.5分；无承诺，0分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经评审的最低磋商评审价为磋商基准价，其价格为满分。供应商的价格分，统一按照下列公式计算：最后报价得分=(磋商基准价／最后报价)×100×价格权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详见附件：施工组织设计文件.docx</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合同条款及格式（大程镇关中环线人行道提升改造项目).docx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