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版本号：ZTHZB-2026-112.1B120260415001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2026年残疾人职业康复项目（家庭医生签约）(二次)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ZTHZB-2026-112.1B1</w:t>
      </w:r>
      <w:r>
        <w:br/>
      </w:r>
      <w:r>
        <w:br/>
      </w:r>
      <w:r>
        <w:br/>
      </w:r>
    </w:p>
    <w:p>
      <w:pPr>
        <w:pStyle w:val="null3"/>
        <w:jc w:val="center"/>
        <w:outlineLvl w:val="2"/>
      </w:pPr>
      <w:r>
        <w:rPr>
          <w:rFonts w:ascii="仿宋_GB2312" w:hAnsi="仿宋_GB2312" w:cs="仿宋_GB2312" w:eastAsia="仿宋_GB2312"/>
          <w:sz w:val="28"/>
          <w:b/>
        </w:rPr>
        <w:t>三原县残疾人联合会</w:t>
      </w:r>
    </w:p>
    <w:p>
      <w:pPr>
        <w:pStyle w:val="null3"/>
        <w:jc w:val="center"/>
        <w:outlineLvl w:val="2"/>
      </w:pPr>
      <w:r>
        <w:rPr>
          <w:rFonts w:ascii="仿宋_GB2312" w:hAnsi="仿宋_GB2312" w:cs="仿宋_GB2312" w:eastAsia="仿宋_GB2312"/>
          <w:sz w:val="28"/>
          <w:b/>
        </w:rPr>
        <w:t>陕西中天禾招标项目管理有限公司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陕西中天禾招标项目管理有限公司</w:t>
      </w:r>
      <w:r>
        <w:rPr>
          <w:rFonts w:ascii="仿宋_GB2312" w:hAnsi="仿宋_GB2312" w:cs="仿宋_GB2312" w:eastAsia="仿宋_GB2312"/>
        </w:rPr>
        <w:t>（以下简称“代理机构”）受</w:t>
      </w:r>
      <w:r>
        <w:rPr>
          <w:rFonts w:ascii="仿宋_GB2312" w:hAnsi="仿宋_GB2312" w:cs="仿宋_GB2312" w:eastAsia="仿宋_GB2312"/>
        </w:rPr>
        <w:t>三原县残疾人联合会</w:t>
      </w:r>
      <w:r>
        <w:rPr>
          <w:rFonts w:ascii="仿宋_GB2312" w:hAnsi="仿宋_GB2312" w:cs="仿宋_GB2312" w:eastAsia="仿宋_GB2312"/>
        </w:rPr>
        <w:t>委托，拟对</w:t>
      </w:r>
      <w:r>
        <w:rPr>
          <w:rFonts w:ascii="仿宋_GB2312" w:hAnsi="仿宋_GB2312" w:cs="仿宋_GB2312" w:eastAsia="仿宋_GB2312"/>
        </w:rPr>
        <w:t>2026年残疾人职业康复项目（家庭医生签约）(二次)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ZTHZB-2026-112.1B1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2026年残疾人职业康复项目（家庭医生签约）(二次)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为了贯彻落实“努力实现残疾人人人享受康复服务”指示精神，提高残疾人精准康复服务水平，根据省市文件要求，为有签约需求的2373名残疾人实施精准康复服务。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采购包1（2026年残疾人职业康复项目（家庭医生签约））：属于专门面向中小企业采购。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1、独立承担民事责任的能力：具有独立承担民事责任能力的法人、其他组织或自然人，并出具合法有效的营业执照或事业单位法人证书等国家规定的相关证明，自然人参与的提供其身份证明：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2、法定代表人身份证明/法定代表人授权：法定代表人身份证明/法定代表人授权委托书：法定代表人资格证明书、法定代表人授权委托书，附法定代表人（或负责人）身份证复印件及被授权人身份证复印件； 注：法定代表人（或负责人）直接参加磋商只须提供法定代表人资格证明书及法定代表人（或负责人）身份证复印件；</w:t>
      </w:r>
    </w:p>
    <w:p>
      <w:pPr>
        <w:pStyle w:val="null3"/>
      </w:pPr>
      <w:r>
        <w:rPr>
          <w:rFonts w:ascii="仿宋_GB2312" w:hAnsi="仿宋_GB2312" w:cs="仿宋_GB2312" w:eastAsia="仿宋_GB2312"/>
        </w:rPr>
        <w:t>3、控股关系及信用信息：单位负责人为同一人或者存在直接控股、管理关系的不同供应商，不得参加同一合同项下的政府采购活动；供应商不得被“信用中国”网站(http://www.creditchina.gov.cn)列入“重大税收违法失信主体”；不得被中国执行信息公开网(http://zxgk.court.gov.cn/shixin/)列入”失信被执行人”；不得被中国政府采购网(http://www.ccgp.gov.cn)列入“政府采购严重违法失信行为记录名单”；（提供书面声明，加盖供应商公章）</w:t>
      </w:r>
    </w:p>
    <w:p>
      <w:pPr>
        <w:pStyle w:val="null3"/>
      </w:pPr>
      <w:r>
        <w:rPr>
          <w:rFonts w:ascii="仿宋_GB2312" w:hAnsi="仿宋_GB2312" w:cs="仿宋_GB2312" w:eastAsia="仿宋_GB2312"/>
        </w:rPr>
        <w:t>4、非联合体声明：本项目不接受联合体磋商。（提供非联合体书面声明并加盖供应商公章）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三原县残疾人联合会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陕西省咸阳市三原县政府东一楼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江老师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32289866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陕西中天禾招标项目管理有限公司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陕西省西安市经开区尚稷路8989号西安服务外包产业园创新孵化中心B座2层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029-89150039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李强</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32269233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采购包1：330,600.00元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价为基数，参照《国家计委关于印发〈招标代理服务收费管理暂行办法〉的通知》（计价格[2002]1980号）、《国家发展改革委关于降低部分建设项目收费标准规范收费行为等有关问题的通知》（发改价格[2011]534号）标准计取，不足6000元按6000元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三原县残疾人联合会</w:t>
      </w:r>
      <w:r>
        <w:rPr>
          <w:rFonts w:ascii="仿宋_GB2312" w:hAnsi="仿宋_GB2312" w:cs="仿宋_GB2312" w:eastAsia="仿宋_GB2312"/>
        </w:rPr>
        <w:t>和</w:t>
      </w:r>
      <w:r>
        <w:rPr>
          <w:rFonts w:ascii="仿宋_GB2312" w:hAnsi="仿宋_GB2312" w:cs="仿宋_GB2312" w:eastAsia="仿宋_GB2312"/>
        </w:rPr>
        <w:t>陕西中天禾招标项目管理有限公司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三原县残疾人联合会</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陕西中天禾招标项目管理有限公司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三原县残疾人联合会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陕西中天禾招标项目管理有限公司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达到服务质量验收合格标准，满足项目要求。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陕西中天禾招标项目管理有限公司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陕西中天禾招标项目管理有限公司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陕西中天禾招标项目管理有限公司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联系人：黄工</w:t>
      </w:r>
    </w:p>
    <w:p>
      <w:pPr>
        <w:pStyle w:val="null3"/>
      </w:pPr>
      <w:r>
        <w:rPr>
          <w:rFonts w:ascii="仿宋_GB2312" w:hAnsi="仿宋_GB2312" w:cs="仿宋_GB2312" w:eastAsia="仿宋_GB2312"/>
        </w:rPr>
        <w:t>联系电话：029-89150039</w:t>
      </w:r>
    </w:p>
    <w:p>
      <w:pPr>
        <w:pStyle w:val="null3"/>
      </w:pPr>
      <w:r>
        <w:rPr>
          <w:rFonts w:ascii="仿宋_GB2312" w:hAnsi="仿宋_GB2312" w:cs="仿宋_GB2312" w:eastAsia="仿宋_GB2312"/>
        </w:rPr>
        <w:t>地址：陕西省西安市经开区尚稷路8989号西安服务外包产业园创新孵化中心B座2层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为了贯彻落实“努力实现残疾人人人享受康复服务”指示精神，提高残疾人精准康复服务水平，根据省市文件要求，为有签约需求的2373名残疾人实施精准康复服务。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330,600.00</w:t>
      </w:r>
    </w:p>
    <w:p>
      <w:pPr>
        <w:pStyle w:val="null3"/>
      </w:pPr>
      <w:r>
        <w:rPr>
          <w:rFonts w:ascii="仿宋_GB2312" w:hAnsi="仿宋_GB2312" w:cs="仿宋_GB2312" w:eastAsia="仿宋_GB2312"/>
        </w:rPr>
        <w:t>采购包最高限价（元）: 330,600.00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2026年残疾人职业康复项目（家庭医生签约）</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330,600.00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标的名称：2026年残疾人职业康复项目（家庭医生签约）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20"/>
              <w:jc w:val="left"/>
            </w:pPr>
            <w:r>
              <w:rPr>
                <w:rFonts w:ascii="仿宋_GB2312" w:hAnsi="仿宋_GB2312" w:cs="仿宋_GB2312" w:eastAsia="仿宋_GB2312"/>
                <w:sz w:val="21"/>
                <w:color w:val="000000"/>
              </w:rPr>
              <w:t>一、项目概况</w:t>
            </w:r>
          </w:p>
          <w:p>
            <w:pPr>
              <w:pStyle w:val="null3"/>
              <w:ind w:firstLine="420"/>
              <w:jc w:val="left"/>
            </w:pPr>
            <w:r>
              <w:rPr>
                <w:rFonts w:ascii="仿宋_GB2312" w:hAnsi="仿宋_GB2312" w:cs="仿宋_GB2312" w:eastAsia="仿宋_GB2312"/>
                <w:sz w:val="21"/>
                <w:color w:val="000000"/>
              </w:rPr>
              <w:t>按照《陕西省残疾人基本康复服务目录（</w:t>
            </w:r>
            <w:r>
              <w:rPr>
                <w:rFonts w:ascii="仿宋_GB2312" w:hAnsi="仿宋_GB2312" w:cs="仿宋_GB2312" w:eastAsia="仿宋_GB2312"/>
                <w:sz w:val="21"/>
                <w:color w:val="000000"/>
              </w:rPr>
              <w:t>202</w:t>
            </w:r>
            <w:r>
              <w:rPr>
                <w:rFonts w:ascii="仿宋_GB2312" w:hAnsi="仿宋_GB2312" w:cs="仿宋_GB2312" w:eastAsia="仿宋_GB2312"/>
                <w:sz w:val="21"/>
                <w:color w:val="000000"/>
              </w:rPr>
              <w:t>5</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年版）》的标准对三原县约</w:t>
            </w:r>
            <w:r>
              <w:rPr>
                <w:rFonts w:ascii="仿宋_GB2312" w:hAnsi="仿宋_GB2312" w:cs="仿宋_GB2312" w:eastAsia="仿宋_GB2312"/>
                <w:sz w:val="21"/>
                <w:color w:val="000000"/>
              </w:rPr>
              <w:t>2373</w:t>
            </w:r>
            <w:r>
              <w:rPr>
                <w:rFonts w:ascii="仿宋_GB2312" w:hAnsi="仿宋_GB2312" w:cs="仿宋_GB2312" w:eastAsia="仿宋_GB2312"/>
                <w:sz w:val="21"/>
                <w:color w:val="000000"/>
              </w:rPr>
              <w:t>名残疾人进行差异化精准康复家庭医生签约服务，包含但不限于筛查建档、信息上传、纸质版资料填写、远程或上门访视、家庭护理、康复、训练指导、康复知识宣传、支持性训练、适应性训练、辅助器具适配、康复转介等内容。</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ind w:firstLine="420"/>
              <w:jc w:val="left"/>
            </w:pPr>
            <w:r>
              <w:rPr>
                <w:rFonts w:ascii="仿宋_GB2312" w:hAnsi="仿宋_GB2312" w:cs="仿宋_GB2312" w:eastAsia="仿宋_GB2312"/>
              </w:rPr>
              <w:t>二、服务内容与要求</w:t>
            </w:r>
          </w:p>
          <w:p>
            <w:pPr>
              <w:pStyle w:val="null3"/>
              <w:ind w:firstLine="420"/>
              <w:jc w:val="left"/>
            </w:pPr>
            <w:r>
              <w:rPr>
                <w:rFonts w:ascii="仿宋_GB2312" w:hAnsi="仿宋_GB2312" w:cs="仿宋_GB2312" w:eastAsia="仿宋_GB2312"/>
              </w:rPr>
              <w:t>（一）服务内容</w:t>
            </w:r>
          </w:p>
          <w:p>
            <w:pPr>
              <w:pStyle w:val="null3"/>
              <w:ind w:firstLine="420"/>
              <w:jc w:val="left"/>
            </w:pPr>
            <w:r>
              <w:rPr>
                <w:rFonts w:ascii="仿宋_GB2312" w:hAnsi="仿宋_GB2312" w:cs="仿宋_GB2312" w:eastAsia="仿宋_GB2312"/>
              </w:rPr>
              <w:t>为残疾人提供建立健康档案、常见病及多发病的诊治、慢性病管理、健康体检、健康咨询、转诊等基本医疗卫生服务及公共卫生服务。</w:t>
            </w:r>
          </w:p>
          <w:p>
            <w:pPr>
              <w:pStyle w:val="null3"/>
              <w:ind w:firstLine="420"/>
              <w:jc w:val="left"/>
            </w:pPr>
            <w:r>
              <w:rPr>
                <w:rFonts w:ascii="仿宋_GB2312" w:hAnsi="仿宋_GB2312" w:cs="仿宋_GB2312" w:eastAsia="仿宋_GB2312"/>
              </w:rPr>
              <w:t>1</w:t>
            </w:r>
            <w:r>
              <w:rPr>
                <w:rFonts w:ascii="仿宋_GB2312" w:hAnsi="仿宋_GB2312" w:cs="仿宋_GB2312" w:eastAsia="仿宋_GB2312"/>
              </w:rPr>
              <w:t>、回顾残疾人既往病史，包括高血压、冠心病、糖尿病、脑卒中等慢性病的诊疗经过、疾病控制情况，外伤史，手术史，过敏史等。</w:t>
            </w:r>
          </w:p>
          <w:p>
            <w:pPr>
              <w:pStyle w:val="null3"/>
              <w:ind w:firstLine="420"/>
              <w:jc w:val="left"/>
            </w:pPr>
            <w:r>
              <w:rPr>
                <w:rFonts w:ascii="仿宋_GB2312" w:hAnsi="仿宋_GB2312" w:cs="仿宋_GB2312" w:eastAsia="仿宋_GB2312"/>
              </w:rPr>
              <w:t>2</w:t>
            </w:r>
            <w:r>
              <w:rPr>
                <w:rFonts w:ascii="仿宋_GB2312" w:hAnsi="仿宋_GB2312" w:cs="仿宋_GB2312" w:eastAsia="仿宋_GB2312"/>
              </w:rPr>
              <w:t>、评估残疾人的健康状况，制定现存慢性病的诊疗计划，不良生活方式的改变计划。</w:t>
            </w:r>
          </w:p>
          <w:p>
            <w:pPr>
              <w:pStyle w:val="null3"/>
              <w:ind w:firstLine="420"/>
              <w:jc w:val="left"/>
            </w:pPr>
            <w:r>
              <w:rPr>
                <w:rFonts w:ascii="仿宋_GB2312" w:hAnsi="仿宋_GB2312" w:cs="仿宋_GB2312" w:eastAsia="仿宋_GB2312"/>
              </w:rPr>
              <w:t>3</w:t>
            </w:r>
            <w:r>
              <w:rPr>
                <w:rFonts w:ascii="仿宋_GB2312" w:hAnsi="仿宋_GB2312" w:cs="仿宋_GB2312" w:eastAsia="仿宋_GB2312"/>
              </w:rPr>
              <w:t>、提出残疾人康复计划、建议，包括是否需要转介到相关康复机构进行康复训练。根据对残疾人健康状况的评估，确定康复训练内容及不宜开展的项目。</w:t>
            </w:r>
          </w:p>
          <w:p>
            <w:pPr>
              <w:pStyle w:val="null3"/>
              <w:ind w:firstLine="420"/>
              <w:jc w:val="left"/>
            </w:pPr>
            <w:r>
              <w:rPr>
                <w:rFonts w:ascii="仿宋_GB2312" w:hAnsi="仿宋_GB2312" w:cs="仿宋_GB2312" w:eastAsia="仿宋_GB2312"/>
              </w:rPr>
              <w:t>（二）服务要求</w:t>
            </w:r>
          </w:p>
          <w:p>
            <w:pPr>
              <w:pStyle w:val="null3"/>
              <w:ind w:firstLine="420"/>
              <w:jc w:val="left"/>
            </w:pPr>
            <w:r>
              <w:rPr>
                <w:rFonts w:ascii="仿宋_GB2312" w:hAnsi="仿宋_GB2312" w:cs="仿宋_GB2312" w:eastAsia="仿宋_GB2312"/>
              </w:rPr>
              <w:t>按照《陕西省残疾人基本康复服务目录（</w:t>
            </w:r>
            <w:r>
              <w:rPr>
                <w:rFonts w:ascii="仿宋_GB2312" w:hAnsi="仿宋_GB2312" w:cs="仿宋_GB2312" w:eastAsia="仿宋_GB2312"/>
              </w:rPr>
              <w:t>202</w:t>
            </w:r>
            <w:r>
              <w:rPr>
                <w:rFonts w:ascii="仿宋_GB2312" w:hAnsi="仿宋_GB2312" w:cs="仿宋_GB2312" w:eastAsia="仿宋_GB2312"/>
              </w:rPr>
              <w:t>5</w:t>
            </w:r>
            <w:r>
              <w:rPr>
                <w:rFonts w:ascii="仿宋_GB2312" w:hAnsi="仿宋_GB2312" w:cs="仿宋_GB2312" w:eastAsia="仿宋_GB2312"/>
              </w:rPr>
              <w:t>年版）》的相关内容要求进行精准化康复服务</w:t>
            </w:r>
            <w:r>
              <w:rPr>
                <w:rFonts w:ascii="仿宋_GB2312" w:hAnsi="仿宋_GB2312" w:cs="仿宋_GB2312" w:eastAsia="仿宋_GB2312"/>
              </w:rPr>
              <w:t>。</w:t>
            </w:r>
          </w:p>
          <w:p>
            <w:pPr>
              <w:pStyle w:val="null3"/>
              <w:ind w:firstLine="420"/>
              <w:jc w:val="left"/>
            </w:pPr>
            <w:r>
              <w:rPr>
                <w:rFonts w:ascii="仿宋_GB2312" w:hAnsi="仿宋_GB2312" w:cs="仿宋_GB2312" w:eastAsia="仿宋_GB2312"/>
              </w:rPr>
              <w:t>（三）</w:t>
            </w:r>
            <w:r>
              <w:rPr>
                <w:rFonts w:ascii="仿宋_GB2312" w:hAnsi="仿宋_GB2312" w:cs="仿宋_GB2312" w:eastAsia="仿宋_GB2312"/>
              </w:rPr>
              <w:t>计费标准及要求：</w:t>
            </w:r>
          </w:p>
          <w:p>
            <w:pPr>
              <w:pStyle w:val="null3"/>
              <w:ind w:firstLine="420"/>
              <w:jc w:val="left"/>
            </w:pPr>
            <w:r>
              <w:rPr>
                <w:rFonts w:ascii="仿宋_GB2312" w:hAnsi="仿宋_GB2312" w:cs="仿宋_GB2312" w:eastAsia="仿宋_GB2312"/>
              </w:rPr>
              <w:t>1</w:t>
            </w:r>
            <w:r>
              <w:rPr>
                <w:rFonts w:ascii="仿宋_GB2312" w:hAnsi="仿宋_GB2312" w:cs="仿宋_GB2312" w:eastAsia="仿宋_GB2312"/>
              </w:rPr>
              <w:t>、三瘫一截（脑瘫、偏瘫、截瘫和截肢）人员：含重度肢体（</w:t>
            </w:r>
            <w:r>
              <w:rPr>
                <w:rFonts w:ascii="仿宋_GB2312" w:hAnsi="仿宋_GB2312" w:cs="仿宋_GB2312" w:eastAsia="仿宋_GB2312"/>
              </w:rPr>
              <w:t xml:space="preserve">1-2 </w:t>
            </w:r>
            <w:r>
              <w:rPr>
                <w:rFonts w:ascii="仿宋_GB2312" w:hAnsi="仿宋_GB2312" w:cs="仿宋_GB2312" w:eastAsia="仿宋_GB2312"/>
              </w:rPr>
              <w:t>级）、以肢体残疾为主的多重残疾人（</w:t>
            </w:r>
            <w:r>
              <w:rPr>
                <w:rFonts w:ascii="仿宋_GB2312" w:hAnsi="仿宋_GB2312" w:cs="仿宋_GB2312" w:eastAsia="仿宋_GB2312"/>
              </w:rPr>
              <w:t xml:space="preserve">1-2 </w:t>
            </w:r>
            <w:r>
              <w:rPr>
                <w:rFonts w:ascii="仿宋_GB2312" w:hAnsi="仿宋_GB2312" w:cs="仿宋_GB2312" w:eastAsia="仿宋_GB2312"/>
              </w:rPr>
              <w:t>级），计费标准为不高于</w:t>
            </w:r>
            <w:r>
              <w:rPr>
                <w:rFonts w:ascii="仿宋_GB2312" w:hAnsi="仿宋_GB2312" w:cs="仿宋_GB2312" w:eastAsia="仿宋_GB2312"/>
              </w:rPr>
              <w:t>240</w:t>
            </w:r>
            <w:r>
              <w:rPr>
                <w:rFonts w:ascii="仿宋_GB2312" w:hAnsi="仿宋_GB2312" w:cs="仿宋_GB2312" w:eastAsia="仿宋_GB2312"/>
              </w:rPr>
              <w:t>元</w:t>
            </w:r>
            <w:r>
              <w:rPr>
                <w:rFonts w:ascii="仿宋_GB2312" w:hAnsi="仿宋_GB2312" w:cs="仿宋_GB2312" w:eastAsia="仿宋_GB2312"/>
              </w:rPr>
              <w:t>/</w:t>
            </w:r>
            <w:r>
              <w:rPr>
                <w:rFonts w:ascii="仿宋_GB2312" w:hAnsi="仿宋_GB2312" w:cs="仿宋_GB2312" w:eastAsia="仿宋_GB2312"/>
              </w:rPr>
              <w:t>人</w:t>
            </w:r>
            <w:r>
              <w:rPr>
                <w:rFonts w:ascii="仿宋_GB2312" w:hAnsi="仿宋_GB2312" w:cs="仿宋_GB2312" w:eastAsia="仿宋_GB2312"/>
              </w:rPr>
              <w:t>/</w:t>
            </w:r>
            <w:r>
              <w:rPr>
                <w:rFonts w:ascii="仿宋_GB2312" w:hAnsi="仿宋_GB2312" w:cs="仿宋_GB2312" w:eastAsia="仿宋_GB2312"/>
              </w:rPr>
              <w:t>年（含筛查评估建档费用），服务人数不低于</w:t>
            </w:r>
            <w:r>
              <w:rPr>
                <w:rFonts w:ascii="仿宋_GB2312" w:hAnsi="仿宋_GB2312" w:cs="仿宋_GB2312" w:eastAsia="仿宋_GB2312"/>
              </w:rPr>
              <w:t>1046</w:t>
            </w:r>
            <w:r>
              <w:rPr>
                <w:rFonts w:ascii="仿宋_GB2312" w:hAnsi="仿宋_GB2312" w:cs="仿宋_GB2312" w:eastAsia="仿宋_GB2312"/>
              </w:rPr>
              <w:t>人。每人每年上门服务次数至少</w:t>
            </w:r>
            <w:r>
              <w:rPr>
                <w:rFonts w:ascii="仿宋_GB2312" w:hAnsi="仿宋_GB2312" w:cs="仿宋_GB2312" w:eastAsia="仿宋_GB2312"/>
              </w:rPr>
              <w:t>3</w:t>
            </w:r>
            <w:r>
              <w:rPr>
                <w:rFonts w:ascii="仿宋_GB2312" w:hAnsi="仿宋_GB2312" w:cs="仿宋_GB2312" w:eastAsia="仿宋_GB2312"/>
              </w:rPr>
              <w:t>次，每次间隔时间至少</w:t>
            </w:r>
            <w:r>
              <w:rPr>
                <w:rFonts w:ascii="仿宋_GB2312" w:hAnsi="仿宋_GB2312" w:cs="仿宋_GB2312" w:eastAsia="仿宋_GB2312"/>
              </w:rPr>
              <w:t>1</w:t>
            </w:r>
            <w:r>
              <w:rPr>
                <w:rFonts w:ascii="仿宋_GB2312" w:hAnsi="仿宋_GB2312" w:cs="仿宋_GB2312" w:eastAsia="仿宋_GB2312"/>
              </w:rPr>
              <w:t>个月，供应商应按照《陕西省残疾人基本康复服务目录》规定服务项目每次提供至少</w:t>
            </w:r>
            <w:r>
              <w:rPr>
                <w:rFonts w:ascii="仿宋_GB2312" w:hAnsi="仿宋_GB2312" w:cs="仿宋_GB2312" w:eastAsia="仿宋_GB2312"/>
              </w:rPr>
              <w:t>2</w:t>
            </w:r>
            <w:r>
              <w:rPr>
                <w:rFonts w:ascii="仿宋_GB2312" w:hAnsi="仿宋_GB2312" w:cs="仿宋_GB2312" w:eastAsia="仿宋_GB2312"/>
              </w:rPr>
              <w:t>项康复服务内容（上门服务在支持性服务、适应性训练、护理服务三项服务内容中选择</w:t>
            </w:r>
            <w:r>
              <w:rPr>
                <w:rFonts w:ascii="仿宋_GB2312" w:hAnsi="仿宋_GB2312" w:cs="仿宋_GB2312" w:eastAsia="仿宋_GB2312"/>
              </w:rPr>
              <w:t>2</w:t>
            </w:r>
            <w:r>
              <w:rPr>
                <w:rFonts w:ascii="仿宋_GB2312" w:hAnsi="仿宋_GB2312" w:cs="仿宋_GB2312" w:eastAsia="仿宋_GB2312"/>
              </w:rPr>
              <w:t>项服务）。最终根据实际服务人数及报价据实结算费用，即结算费用</w:t>
            </w:r>
            <w:r>
              <w:rPr>
                <w:rFonts w:ascii="仿宋_GB2312" w:hAnsi="仿宋_GB2312" w:cs="仿宋_GB2312" w:eastAsia="仿宋_GB2312"/>
              </w:rPr>
              <w:t>=</w:t>
            </w:r>
            <w:r>
              <w:rPr>
                <w:rFonts w:ascii="仿宋_GB2312" w:hAnsi="仿宋_GB2312" w:cs="仿宋_GB2312" w:eastAsia="仿宋_GB2312"/>
              </w:rPr>
              <w:t>服务人数×报价。</w:t>
            </w:r>
          </w:p>
          <w:p>
            <w:pPr>
              <w:pStyle w:val="null3"/>
              <w:ind w:firstLine="420"/>
              <w:jc w:val="left"/>
            </w:pPr>
            <w:r>
              <w:rPr>
                <w:rFonts w:ascii="仿宋_GB2312" w:hAnsi="仿宋_GB2312" w:cs="仿宋_GB2312" w:eastAsia="仿宋_GB2312"/>
              </w:rPr>
              <w:t>2</w:t>
            </w:r>
            <w:r>
              <w:rPr>
                <w:rFonts w:ascii="仿宋_GB2312" w:hAnsi="仿宋_GB2312" w:cs="仿宋_GB2312" w:eastAsia="仿宋_GB2312"/>
              </w:rPr>
              <w:t>、其他人员：含听力、言语、视力、智力和多重（不含重度肢体残疾）残疾人，计费标准为不高于</w:t>
            </w:r>
            <w:r>
              <w:rPr>
                <w:rFonts w:ascii="仿宋_GB2312" w:hAnsi="仿宋_GB2312" w:cs="仿宋_GB2312" w:eastAsia="仿宋_GB2312"/>
              </w:rPr>
              <w:t>60</w:t>
            </w:r>
            <w:r>
              <w:rPr>
                <w:rFonts w:ascii="仿宋_GB2312" w:hAnsi="仿宋_GB2312" w:cs="仿宋_GB2312" w:eastAsia="仿宋_GB2312"/>
              </w:rPr>
              <w:t>元</w:t>
            </w:r>
            <w:r>
              <w:rPr>
                <w:rFonts w:ascii="仿宋_GB2312" w:hAnsi="仿宋_GB2312" w:cs="仿宋_GB2312" w:eastAsia="仿宋_GB2312"/>
              </w:rPr>
              <w:t>/</w:t>
            </w:r>
            <w:r>
              <w:rPr>
                <w:rFonts w:ascii="仿宋_GB2312" w:hAnsi="仿宋_GB2312" w:cs="仿宋_GB2312" w:eastAsia="仿宋_GB2312"/>
              </w:rPr>
              <w:t>人</w:t>
            </w:r>
            <w:r>
              <w:rPr>
                <w:rFonts w:ascii="仿宋_GB2312" w:hAnsi="仿宋_GB2312" w:cs="仿宋_GB2312" w:eastAsia="仿宋_GB2312"/>
              </w:rPr>
              <w:t>/</w:t>
            </w:r>
            <w:r>
              <w:rPr>
                <w:rFonts w:ascii="仿宋_GB2312" w:hAnsi="仿宋_GB2312" w:cs="仿宋_GB2312" w:eastAsia="仿宋_GB2312"/>
              </w:rPr>
              <w:t>年（含筛查评估建档费用），服务人数不低于</w:t>
            </w:r>
            <w:r>
              <w:rPr>
                <w:rFonts w:ascii="仿宋_GB2312" w:hAnsi="仿宋_GB2312" w:cs="仿宋_GB2312" w:eastAsia="仿宋_GB2312"/>
              </w:rPr>
              <w:t>1327</w:t>
            </w:r>
            <w:r>
              <w:rPr>
                <w:rFonts w:ascii="仿宋_GB2312" w:hAnsi="仿宋_GB2312" w:cs="仿宋_GB2312" w:eastAsia="仿宋_GB2312"/>
              </w:rPr>
              <w:t>人。每人每年服务次数至少</w:t>
            </w:r>
            <w:r>
              <w:rPr>
                <w:rFonts w:ascii="仿宋_GB2312" w:hAnsi="仿宋_GB2312" w:cs="仿宋_GB2312" w:eastAsia="仿宋_GB2312"/>
              </w:rPr>
              <w:t xml:space="preserve">2 </w:t>
            </w:r>
            <w:r>
              <w:rPr>
                <w:rFonts w:ascii="仿宋_GB2312" w:hAnsi="仿宋_GB2312" w:cs="仿宋_GB2312" w:eastAsia="仿宋_GB2312"/>
              </w:rPr>
              <w:t>次，每次间隔时间至少</w:t>
            </w:r>
            <w:r>
              <w:rPr>
                <w:rFonts w:ascii="仿宋_GB2312" w:hAnsi="仿宋_GB2312" w:cs="仿宋_GB2312" w:eastAsia="仿宋_GB2312"/>
              </w:rPr>
              <w:t>1</w:t>
            </w:r>
            <w:r>
              <w:rPr>
                <w:rFonts w:ascii="仿宋_GB2312" w:hAnsi="仿宋_GB2312" w:cs="仿宋_GB2312" w:eastAsia="仿宋_GB2312"/>
              </w:rPr>
              <w:t>个月，供应商应按照《陕西省残疾人基本康复服务目录》规定服务项目，提供康复服务。最终根据实际服务人数及报价据实结算费用，即结算费用</w:t>
            </w:r>
            <w:r>
              <w:rPr>
                <w:rFonts w:ascii="仿宋_GB2312" w:hAnsi="仿宋_GB2312" w:cs="仿宋_GB2312" w:eastAsia="仿宋_GB2312"/>
              </w:rPr>
              <w:t>=</w:t>
            </w:r>
            <w:r>
              <w:rPr>
                <w:rFonts w:ascii="仿宋_GB2312" w:hAnsi="仿宋_GB2312" w:cs="仿宋_GB2312" w:eastAsia="仿宋_GB2312"/>
              </w:rPr>
              <w:t>服务人数×报价。</w:t>
            </w:r>
          </w:p>
          <w:p>
            <w:pPr>
              <w:pStyle w:val="null3"/>
              <w:ind w:firstLine="420"/>
              <w:jc w:val="left"/>
            </w:pPr>
            <w:r>
              <w:rPr>
                <w:rFonts w:ascii="仿宋_GB2312" w:hAnsi="仿宋_GB2312" w:cs="仿宋_GB2312" w:eastAsia="仿宋_GB2312"/>
              </w:rPr>
              <w:t>做好纸质档案记录及签约系统的录入工作，并将相关能够证明乙方保质保量完成服务内容的完整资料在要求甲方支付服务费之前提交给甲方一份。所有服务需提供电子版照片、康复服务表单及残疾人签字纸质版记录等以备甲方查验。</w:t>
            </w:r>
          </w:p>
          <w:p>
            <w:pPr>
              <w:pStyle w:val="null3"/>
              <w:ind w:firstLine="420"/>
              <w:jc w:val="left"/>
            </w:pPr>
            <w:r>
              <w:rPr>
                <w:rFonts w:ascii="仿宋_GB2312" w:hAnsi="仿宋_GB2312" w:cs="仿宋_GB2312" w:eastAsia="仿宋_GB2312"/>
              </w:rPr>
              <w:t>（四）服务人员要求</w:t>
            </w:r>
            <w:r>
              <w:rPr>
                <w:rFonts w:ascii="仿宋_GB2312" w:hAnsi="仿宋_GB2312" w:cs="仿宋_GB2312" w:eastAsia="仿宋_GB2312"/>
              </w:rPr>
              <w:t>1</w:t>
            </w:r>
            <w:r>
              <w:rPr>
                <w:rFonts w:ascii="仿宋_GB2312" w:hAnsi="仿宋_GB2312" w:cs="仿宋_GB2312" w:eastAsia="仿宋_GB2312"/>
              </w:rPr>
              <w:t>、合理配备上门服务人员，数量以满足本项目上门服务所需要的筛查建档、信息上传、纸质版资料填写、远程或上门访视、家庭护理、康复、训练指导、康复知识宣传、支持性训练、适应性训练、辅助器具适配、康复转介等为标准；</w:t>
            </w:r>
          </w:p>
          <w:p>
            <w:pPr>
              <w:pStyle w:val="null3"/>
              <w:ind w:firstLine="420"/>
              <w:jc w:val="left"/>
            </w:pPr>
            <w:r>
              <w:rPr>
                <w:rFonts w:ascii="仿宋_GB2312" w:hAnsi="仿宋_GB2312" w:cs="仿宋_GB2312" w:eastAsia="仿宋_GB2312"/>
              </w:rPr>
              <w:t>2</w:t>
            </w:r>
            <w:r>
              <w:rPr>
                <w:rFonts w:ascii="仿宋_GB2312" w:hAnsi="仿宋_GB2312" w:cs="仿宋_GB2312" w:eastAsia="仿宋_GB2312"/>
              </w:rPr>
              <w:t>、派出服务人员应具备从事重度肢体残疾人和其它有康复需求的持证残疾人康复护理的专业技能，同时还应配备心理咨询、疏导类的专业服务人员进行协助服务；</w:t>
            </w:r>
          </w:p>
          <w:p>
            <w:pPr>
              <w:pStyle w:val="null3"/>
              <w:ind w:firstLine="420"/>
              <w:jc w:val="left"/>
            </w:pPr>
            <w:r>
              <w:rPr>
                <w:rFonts w:ascii="仿宋_GB2312" w:hAnsi="仿宋_GB2312" w:cs="仿宋_GB2312" w:eastAsia="仿宋_GB2312"/>
              </w:rPr>
              <w:t>3</w:t>
            </w:r>
            <w:r>
              <w:rPr>
                <w:rFonts w:ascii="仿宋_GB2312" w:hAnsi="仿宋_GB2312" w:cs="仿宋_GB2312" w:eastAsia="仿宋_GB2312"/>
              </w:rPr>
              <w:t>、所有服务人员应熟悉与残疾人相关法律法规、政策条例和残疾人服务领域有关 业务及重要文件，具有主动服务意识，良好沟通能力，规范服务礼仪；</w:t>
            </w:r>
          </w:p>
          <w:p>
            <w:pPr>
              <w:pStyle w:val="null3"/>
              <w:ind w:firstLine="420"/>
              <w:jc w:val="left"/>
            </w:pPr>
            <w:r>
              <w:rPr>
                <w:rFonts w:ascii="仿宋_GB2312" w:hAnsi="仿宋_GB2312" w:cs="仿宋_GB2312" w:eastAsia="仿宋_GB2312"/>
              </w:rPr>
              <w:t>4</w:t>
            </w:r>
            <w:r>
              <w:rPr>
                <w:rFonts w:ascii="仿宋_GB2312" w:hAnsi="仿宋_GB2312" w:cs="仿宋_GB2312" w:eastAsia="仿宋_GB2312"/>
              </w:rPr>
              <w:t>、所有服务人员在服务过程中应使用普通话，语言文明、简洁、清晰，帮残助残，态度</w:t>
            </w:r>
            <w:r>
              <w:rPr>
                <w:rFonts w:ascii="仿宋_GB2312" w:hAnsi="仿宋_GB2312" w:cs="仿宋_GB2312" w:eastAsia="仿宋_GB2312"/>
              </w:rPr>
              <w:t>和善</w:t>
            </w:r>
            <w:r>
              <w:rPr>
                <w:rFonts w:ascii="仿宋_GB2312" w:hAnsi="仿宋_GB2312" w:cs="仿宋_GB2312" w:eastAsia="仿宋_GB2312"/>
              </w:rPr>
              <w:t>，尊重残疾人的隐私权、名誉权。</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ind w:firstLine="420"/>
              <w:jc w:val="left"/>
            </w:pPr>
            <w:r>
              <w:rPr>
                <w:rFonts w:ascii="仿宋_GB2312" w:hAnsi="仿宋_GB2312" w:cs="仿宋_GB2312" w:eastAsia="仿宋_GB2312"/>
              </w:rPr>
              <w:t>三、服务实施要求：</w:t>
            </w:r>
          </w:p>
          <w:p>
            <w:pPr>
              <w:pStyle w:val="null3"/>
              <w:ind w:firstLine="420"/>
              <w:jc w:val="left"/>
            </w:pPr>
            <w:r>
              <w:rPr>
                <w:rFonts w:ascii="仿宋_GB2312" w:hAnsi="仿宋_GB2312" w:cs="仿宋_GB2312" w:eastAsia="仿宋_GB2312"/>
              </w:rPr>
              <w:t>1</w:t>
            </w:r>
            <w:r>
              <w:rPr>
                <w:rFonts w:ascii="仿宋_GB2312" w:hAnsi="仿宋_GB2312" w:cs="仿宋_GB2312" w:eastAsia="仿宋_GB2312"/>
              </w:rPr>
              <w:t>、实施服务前须充分了解残疾人状况，根据不同类型残疾人及残疾等级制定个性化可实施的康复服务方案；</w:t>
            </w:r>
          </w:p>
          <w:p>
            <w:pPr>
              <w:pStyle w:val="null3"/>
              <w:ind w:firstLine="420"/>
              <w:jc w:val="left"/>
            </w:pPr>
            <w:r>
              <w:rPr>
                <w:rFonts w:ascii="仿宋_GB2312" w:hAnsi="仿宋_GB2312" w:cs="仿宋_GB2312" w:eastAsia="仿宋_GB2312"/>
              </w:rPr>
              <w:t>2</w:t>
            </w:r>
            <w:r>
              <w:rPr>
                <w:rFonts w:ascii="仿宋_GB2312" w:hAnsi="仿宋_GB2312" w:cs="仿宋_GB2312" w:eastAsia="仿宋_GB2312"/>
              </w:rPr>
              <w:t>、在整个服务周期内须为服务对象建立个人信息档案，档案至少包括但不限于：个人详细的基本信息、残疾类型、健康状况、监护人详细信息、康复需求等；</w:t>
            </w:r>
          </w:p>
          <w:p>
            <w:pPr>
              <w:pStyle w:val="null3"/>
              <w:ind w:firstLine="420"/>
              <w:jc w:val="left"/>
            </w:pPr>
            <w:r>
              <w:rPr>
                <w:rFonts w:ascii="仿宋_GB2312" w:hAnsi="仿宋_GB2312" w:cs="仿宋_GB2312" w:eastAsia="仿宋_GB2312"/>
              </w:rPr>
              <w:t>3</w:t>
            </w:r>
            <w:r>
              <w:rPr>
                <w:rFonts w:ascii="仿宋_GB2312" w:hAnsi="仿宋_GB2312" w:cs="仿宋_GB2312" w:eastAsia="仿宋_GB2312"/>
              </w:rPr>
              <w:t>、将筛查和建档信息及时录入电子系统，确保数据实时更新；在获取授权的情况下实施信息共享，确保服务的连续性；同时纸质资料书写规范清晰、妥善保管；</w:t>
            </w:r>
          </w:p>
          <w:p>
            <w:pPr>
              <w:pStyle w:val="null3"/>
              <w:ind w:firstLine="420"/>
              <w:jc w:val="left"/>
            </w:pPr>
            <w:r>
              <w:rPr>
                <w:rFonts w:ascii="仿宋_GB2312" w:hAnsi="仿宋_GB2312" w:cs="仿宋_GB2312" w:eastAsia="仿宋_GB2312"/>
              </w:rPr>
              <w:t>4</w:t>
            </w:r>
            <w:r>
              <w:rPr>
                <w:rFonts w:ascii="仿宋_GB2312" w:hAnsi="仿宋_GB2312" w:cs="仿宋_GB2312" w:eastAsia="仿宋_GB2312"/>
              </w:rPr>
              <w:t>、使用电话、视频通话、上门等形式对服务对象的康复进展、健康状况、心理状态等进行访视，并提供必要的指导和支持；</w:t>
            </w:r>
          </w:p>
          <w:p>
            <w:pPr>
              <w:pStyle w:val="null3"/>
              <w:ind w:firstLine="420"/>
              <w:jc w:val="left"/>
            </w:pPr>
            <w:r>
              <w:rPr>
                <w:rFonts w:ascii="仿宋_GB2312" w:hAnsi="仿宋_GB2312" w:cs="仿宋_GB2312" w:eastAsia="仿宋_GB2312"/>
              </w:rPr>
              <w:t>5</w:t>
            </w:r>
            <w:r>
              <w:rPr>
                <w:rFonts w:ascii="仿宋_GB2312" w:hAnsi="仿宋_GB2312" w:cs="仿宋_GB2312" w:eastAsia="仿宋_GB2312"/>
              </w:rPr>
              <w:t>、每次护理后详细记录护理内容、服务对象的反应及进展情况，适时调整护理计划及对护理人员针对性的培训；</w:t>
            </w:r>
          </w:p>
          <w:p>
            <w:pPr>
              <w:pStyle w:val="null3"/>
              <w:ind w:firstLine="420"/>
              <w:jc w:val="left"/>
            </w:pPr>
            <w:r>
              <w:rPr>
                <w:rFonts w:ascii="仿宋_GB2312" w:hAnsi="仿宋_GB2312" w:cs="仿宋_GB2312" w:eastAsia="仿宋_GB2312"/>
              </w:rPr>
              <w:t>6</w:t>
            </w:r>
            <w:r>
              <w:rPr>
                <w:rFonts w:ascii="仿宋_GB2312" w:hAnsi="仿宋_GB2312" w:cs="仿宋_GB2312" w:eastAsia="仿宋_GB2312"/>
              </w:rPr>
              <w:t>、定期进行康复评估，了解康复进展，及时调整康复计划；</w:t>
            </w:r>
          </w:p>
          <w:p>
            <w:pPr>
              <w:pStyle w:val="null3"/>
              <w:ind w:firstLine="420"/>
              <w:jc w:val="left"/>
            </w:pPr>
            <w:r>
              <w:rPr>
                <w:rFonts w:ascii="仿宋_GB2312" w:hAnsi="仿宋_GB2312" w:cs="仿宋_GB2312" w:eastAsia="仿宋_GB2312"/>
              </w:rPr>
              <w:t>7</w:t>
            </w:r>
            <w:r>
              <w:rPr>
                <w:rFonts w:ascii="仿宋_GB2312" w:hAnsi="仿宋_GB2312" w:cs="仿宋_GB2312" w:eastAsia="仿宋_GB2312"/>
              </w:rPr>
              <w:t>、制定训练计划，合理安排训练频率，确保训练效果，详细记录训练内容、服务对象的反应及进展情况；</w:t>
            </w:r>
          </w:p>
          <w:p>
            <w:pPr>
              <w:pStyle w:val="null3"/>
              <w:ind w:firstLine="420"/>
              <w:jc w:val="left"/>
            </w:pPr>
            <w:r>
              <w:rPr>
                <w:rFonts w:ascii="仿宋_GB2312" w:hAnsi="仿宋_GB2312" w:cs="仿宋_GB2312" w:eastAsia="仿宋_GB2312"/>
              </w:rPr>
              <w:t>8</w:t>
            </w:r>
            <w:r>
              <w:rPr>
                <w:rFonts w:ascii="仿宋_GB2312" w:hAnsi="仿宋_GB2312" w:cs="仿宋_GB2312" w:eastAsia="仿宋_GB2312"/>
              </w:rPr>
              <w:t>、通过社区讲座、宣传册、网络平台等多种形式，普及康复知识，提供公众的康</w:t>
            </w:r>
            <w:r>
              <w:rPr>
                <w:rFonts w:ascii="仿宋_GB2312" w:hAnsi="仿宋_GB2312" w:cs="仿宋_GB2312" w:eastAsia="仿宋_GB2312"/>
              </w:rPr>
              <w:t>复意识；</w:t>
            </w:r>
          </w:p>
          <w:p>
            <w:pPr>
              <w:pStyle w:val="null3"/>
              <w:ind w:firstLine="420"/>
              <w:jc w:val="left"/>
            </w:pPr>
            <w:r>
              <w:rPr>
                <w:rFonts w:ascii="仿宋_GB2312" w:hAnsi="仿宋_GB2312" w:cs="仿宋_GB2312" w:eastAsia="仿宋_GB2312"/>
              </w:rPr>
              <w:t>9</w:t>
            </w:r>
            <w:r>
              <w:rPr>
                <w:rFonts w:ascii="仿宋_GB2312" w:hAnsi="仿宋_GB2312" w:cs="仿宋_GB2312" w:eastAsia="仿宋_GB2312"/>
              </w:rPr>
              <w:t>、对服务对象提供心理支持，家庭成员提供支持，鼓励服务对象参加社交活动；</w:t>
            </w:r>
          </w:p>
          <w:p>
            <w:pPr>
              <w:pStyle w:val="null3"/>
              <w:ind w:firstLine="420"/>
              <w:jc w:val="left"/>
            </w:pPr>
            <w:r>
              <w:rPr>
                <w:rFonts w:ascii="仿宋_GB2312" w:hAnsi="仿宋_GB2312" w:cs="仿宋_GB2312" w:eastAsia="仿宋_GB2312"/>
              </w:rPr>
              <w:t>10</w:t>
            </w:r>
            <w:r>
              <w:rPr>
                <w:rFonts w:ascii="仿宋_GB2312" w:hAnsi="仿宋_GB2312" w:cs="仿宋_GB2312" w:eastAsia="仿宋_GB2312"/>
              </w:rPr>
              <w:t>、提供日常生活技能训练，帮助其适应家庭和社区环境，帮助其重新融入社会，</w:t>
            </w:r>
            <w:r>
              <w:rPr>
                <w:rFonts w:ascii="仿宋_GB2312" w:hAnsi="仿宋_GB2312" w:cs="仿宋_GB2312" w:eastAsia="仿宋_GB2312"/>
              </w:rPr>
              <w:t>增强社会参与能力；</w:t>
            </w:r>
          </w:p>
          <w:p>
            <w:pPr>
              <w:pStyle w:val="null3"/>
              <w:ind w:firstLine="420"/>
              <w:jc w:val="left"/>
            </w:pPr>
            <w:r>
              <w:rPr>
                <w:rFonts w:ascii="仿宋_GB2312" w:hAnsi="仿宋_GB2312" w:cs="仿宋_GB2312" w:eastAsia="仿宋_GB2312"/>
              </w:rPr>
              <w:t>11</w:t>
            </w:r>
            <w:r>
              <w:rPr>
                <w:rFonts w:ascii="仿宋_GB2312" w:hAnsi="仿宋_GB2312" w:cs="仿宋_GB2312" w:eastAsia="仿宋_GB2312"/>
              </w:rPr>
              <w:t>、评估服务对象所需的辅助器具，确保辅助器具的适配性，提供必要的使用指导，</w:t>
            </w:r>
            <w:r>
              <w:rPr>
                <w:rFonts w:ascii="仿宋_GB2312" w:hAnsi="仿宋_GB2312" w:cs="仿宋_GB2312" w:eastAsia="仿宋_GB2312"/>
              </w:rPr>
              <w:t>并定期检查辅助器具的使用情况；</w:t>
            </w:r>
          </w:p>
          <w:p>
            <w:pPr>
              <w:pStyle w:val="null3"/>
              <w:ind w:firstLine="420"/>
              <w:jc w:val="left"/>
            </w:pPr>
            <w:r>
              <w:rPr>
                <w:rFonts w:ascii="仿宋_GB2312" w:hAnsi="仿宋_GB2312" w:cs="仿宋_GB2312" w:eastAsia="仿宋_GB2312"/>
              </w:rPr>
              <w:t>12</w:t>
            </w:r>
            <w:r>
              <w:rPr>
                <w:rFonts w:ascii="仿宋_GB2312" w:hAnsi="仿宋_GB2312" w:cs="仿宋_GB2312" w:eastAsia="仿宋_GB2312"/>
              </w:rPr>
              <w:t>、对服务对象制定合理的转介标准，建立顺畅的转介流程，确保其能够及时转介</w:t>
            </w:r>
            <w:r>
              <w:rPr>
                <w:rFonts w:ascii="仿宋_GB2312" w:hAnsi="仿宋_GB2312" w:cs="仿宋_GB2312" w:eastAsia="仿宋_GB2312"/>
              </w:rPr>
              <w:t>到合适的康复机构或医院，能够获得更专业的康复服务；</w:t>
            </w:r>
          </w:p>
          <w:p>
            <w:pPr>
              <w:pStyle w:val="null3"/>
              <w:ind w:firstLine="420"/>
              <w:jc w:val="left"/>
            </w:pPr>
            <w:r>
              <w:rPr>
                <w:rFonts w:ascii="仿宋_GB2312" w:hAnsi="仿宋_GB2312" w:cs="仿宋_GB2312" w:eastAsia="仿宋_GB2312"/>
              </w:rPr>
              <w:t>13</w:t>
            </w:r>
            <w:r>
              <w:rPr>
                <w:rFonts w:ascii="仿宋_GB2312" w:hAnsi="仿宋_GB2312" w:cs="仿宋_GB2312" w:eastAsia="仿宋_GB2312"/>
              </w:rPr>
              <w:t>、应对派出服务人员进行服务标准、服务质量进行考核，及时掌握服务人员服务</w:t>
            </w:r>
            <w:r>
              <w:rPr>
                <w:rFonts w:ascii="仿宋_GB2312" w:hAnsi="仿宋_GB2312" w:cs="仿宋_GB2312" w:eastAsia="仿宋_GB2312"/>
              </w:rPr>
              <w:t>质量，服务质量不达标人员应及时更换；</w:t>
            </w:r>
          </w:p>
          <w:p>
            <w:pPr>
              <w:pStyle w:val="null3"/>
              <w:ind w:firstLine="420"/>
              <w:jc w:val="left"/>
            </w:pPr>
            <w:r>
              <w:rPr>
                <w:rFonts w:ascii="仿宋_GB2312" w:hAnsi="仿宋_GB2312" w:cs="仿宋_GB2312" w:eastAsia="仿宋_GB2312"/>
              </w:rPr>
              <w:t>14、服务质量考核：应主动配合采购人不定期的服务综合能力评价考核，若考核不 达标须按照采购人的要求进行整改，整改后仍不达标的应接受采购人的处罚或由采购人 决定终止合同。</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自合同签订之日起至2026年10月31日止，按期完成服务并交付。</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采购人指定地点，按照采购人指定方式</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符合国家和行业现行规范标准，由甲方负责验收。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服务完成，验收合格后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1、违约责任：按《中华人民共和国民法典》中的相关条款执行。 未按合同要求提供服务或服务质量不能满足技术要求，采购人有权终止合同，并对供方违约行为进行追究，同时按《中华人民共和国政府采购法》的有关规定进行处罚。 2、解决争议的方法：凡因本合同引起的或与本合同有关的争议，双方应友好协商解决。协商不成时，双方均同意采用以下第（1）种争议解决方式：（1）甲、乙双方均同意向（甲方所在地人民法院）提起诉讼。（2）甲、乙双方均同意向（仲裁委员会）提起仲裁。</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同时提供以下证明材料： （1）提供依法缴纳税收的良好记录，缴费所属日期为投标截止时间前六个月内任意一个月（投标截止时间当月不计入），证明文件应为至少包含增值税（或企业所得税）的缴费凭据或纳税的银行转账汇款单、对账单等；（依法免税的供应商应提供相关文件证明） （2）提供依法缴纳社会保障资金的良好记录，缴费所属日期为投标截止时间前六个月内任意一个月（投标截止时间当月不计入），证明文件应为转账汇款单或社保部门出具的缴纳社会保障金的凭证等；（依法不需要缴纳社会保障资金的供应商应提供相关证明） (3)提供参加政府采购活动前3年内在经营活动中没有重大违法记录的书面声明。 (4)提供履行合同所必需的设备和专业技术能力的书面声明。</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供应商提供经审计的2023年度、2024年度或2025年度完整的财务审计报告(成立时间至响应文件递交截止时间不足一年的可提供成立后任意时段的资产负债表；事业法人提供部门决算报告；)或响应文件递交截止时间前六个月内其基本开户银行出具的资信证明（附《基本存款账户信息》或《银行开户许可证》复印件）或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法定代表人身份证明/法定代表人授权</w:t>
            </w:r>
          </w:p>
        </w:tc>
        <w:tc>
          <w:tcPr>
            <w:tcW w:type="dxa" w:w="3322"/>
          </w:tcPr>
          <w:p>
            <w:pPr>
              <w:pStyle w:val="null3"/>
            </w:pPr>
            <w:r>
              <w:rPr>
                <w:rFonts w:ascii="仿宋_GB2312" w:hAnsi="仿宋_GB2312" w:cs="仿宋_GB2312" w:eastAsia="仿宋_GB2312"/>
              </w:rPr>
              <w:t>法定代表人身份证明/法定代表人授权委托书：法定代表人资格证明书、法定代表人授权委托书，附法定代表人（或负责人）身份证复印件及被授权人身份证复印件； 注：法定代表人（或负责人）直接参加磋商只须提供法定代表人资格证明书及法定代表人（或负责人）身份证复印件；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控股关系及信用信息</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供应商不得被“信用中国”网站(http://www.creditchina.gov.cn)列入“重大税收违法失信主体”；不得被中国执行信息公开网(http://zxgk.court.gov.cn/shixin/)列入”失信被执行人”；不得被中国政府采购网(http://www.ccgp.gov.cn)列入“政府采购严重违法失信行为记录名单”；（提供书面声明，加盖供应商公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本项目不接受联合体磋商。（提供非联合体书面声明并加盖供应商公章）</w:t>
            </w:r>
          </w:p>
        </w:tc>
        <w:tc>
          <w:tcPr>
            <w:tcW w:type="dxa" w:w="1661"/>
          </w:tcPr>
          <w:p>
            <w:pPr>
              <w:pStyle w:val="null3"/>
            </w:pPr>
            <w:r>
              <w:rPr>
                <w:rFonts w:ascii="仿宋_GB2312" w:hAnsi="仿宋_GB2312" w:cs="仿宋_GB2312" w:eastAsia="仿宋_GB2312"/>
              </w:rPr>
              <w:t>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响应文件的签署、盖章、格式应符合“磋商响应文件格式”要求。</w:t>
            </w:r>
          </w:p>
        </w:tc>
        <w:tc>
          <w:tcPr>
            <w:tcW w:type="dxa" w:w="1661"/>
          </w:tcPr>
          <w:p>
            <w:pPr>
              <w:pStyle w:val="null3"/>
            </w:pPr>
            <w:r>
              <w:rPr>
                <w:rFonts w:ascii="仿宋_GB2312" w:hAnsi="仿宋_GB2312" w:cs="仿宋_GB2312" w:eastAsia="仿宋_GB2312"/>
              </w:rPr>
              <w:t>业绩.docx 拟投入项目的设备配置.docx 中小企业声明函 服务承诺.docx 质量保证措施.docx 响应文件封面 商务条款相应偏离表.docx 磋商文件要求的其他证明资料及供应商认为有必要说明的事宜.docx 残疾人福利性单位声明函 拟投入项目的团队人员配置.docx 总体服务方案.docx 标的清单 响应函 技术条款相应偏离表.docx 监狱企业的证明文件 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投标报价符合唯一性要求，不得提交选择性报价，且报价不超过采购预算金额或最高限价：330,600.00元。</w:t>
            </w:r>
          </w:p>
        </w:tc>
        <w:tc>
          <w:tcPr>
            <w:tcW w:type="dxa" w:w="1661"/>
          </w:tcPr>
          <w:p>
            <w:pPr>
              <w:pStyle w:val="null3"/>
            </w:pPr>
            <w:r>
              <w:rPr>
                <w:rFonts w:ascii="仿宋_GB2312" w:hAnsi="仿宋_GB2312" w:cs="仿宋_GB2312" w:eastAsia="仿宋_GB2312"/>
              </w:rPr>
              <w:t>响应文件封面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符合磋商文件要求：自提交磋商响应文件截止之日起90个日历日。</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符合磋商文件要求：自合同签订之日起至2026年10月31日止，按期完成服务并交付。</w:t>
            </w:r>
          </w:p>
        </w:tc>
        <w:tc>
          <w:tcPr>
            <w:tcW w:type="dxa" w:w="1661"/>
          </w:tcPr>
          <w:p>
            <w:pPr>
              <w:pStyle w:val="null3"/>
            </w:pPr>
            <w:r>
              <w:rPr>
                <w:rFonts w:ascii="仿宋_GB2312" w:hAnsi="仿宋_GB2312" w:cs="仿宋_GB2312" w:eastAsia="仿宋_GB2312"/>
              </w:rPr>
              <w:t>响应文件封面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对磋商文件响应程度及其他</w:t>
            </w:r>
          </w:p>
        </w:tc>
        <w:tc>
          <w:tcPr>
            <w:tcW w:type="dxa" w:w="3322"/>
          </w:tcPr>
          <w:p>
            <w:pPr>
              <w:pStyle w:val="null3"/>
            </w:pPr>
            <w:r>
              <w:rPr>
                <w:rFonts w:ascii="仿宋_GB2312" w:hAnsi="仿宋_GB2312" w:cs="仿宋_GB2312" w:eastAsia="仿宋_GB2312"/>
              </w:rPr>
              <w:t>完全理解并接受对商务要求、技术要求响应，没有实质性负偏离。完全理解并接受法律法规和磋商文件对供应商的各项须知、规约要求和责任义务，没有出现法律法规或磋商文件明确规定的其他被视为“无效投标”的情形。</w:t>
            </w:r>
          </w:p>
        </w:tc>
        <w:tc>
          <w:tcPr>
            <w:tcW w:type="dxa" w:w="1661"/>
          </w:tcPr>
          <w:p>
            <w:pPr>
              <w:pStyle w:val="null3"/>
            </w:pPr>
            <w:r>
              <w:rPr>
                <w:rFonts w:ascii="仿宋_GB2312" w:hAnsi="仿宋_GB2312" w:cs="仿宋_GB2312" w:eastAsia="仿宋_GB2312"/>
              </w:rPr>
              <w:t>业绩.docx 拟投入项目的设备配置.docx 中小企业声明函 服务承诺.docx 质量保证措施.docx 响应文件封面 商务条款相应偏离表.docx 磋商文件要求的其他证明资料及供应商认为有必要说明的事宜.docx 残疾人福利性单位声明函 拟投入项目的团队人员配置.docx 总体服务方案.docx 标的清单 响应函 技术条款相应偏离表.docx 监狱企业的证明文件 供应商资格条件证明文件.docx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针对服务内容及要求提出适用于本项目的服务方案，方案内容包括但不限于： ①对项目的背景和工作目的理解； ②人员调配、人员分工； ③实施计划、行程安排； ④实施细则； ⑤档案管理； 以上内容完整、理解到位、可操作性强，符合本项目实际情况得15分；每缺少一项内容的扣3分，每有一项有缺陷扣0.5分，未提供的不得分，本项得分扣完为止。 缺陷是指内容没有结合项目实际需求、虽有内容但不完善、内容表述前后不一致、套用其他项目方案或与项目需求不匹配及其他不利于项目实施的等任意一种情形 。</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总体服务方案.docx</w:t>
            </w:r>
          </w:p>
        </w:tc>
      </w:tr>
      <w:tr>
        <w:tc>
          <w:tcPr>
            <w:tcW w:type="dxa" w:w="831"/>
            <w:vMerge/>
          </w:tcPr>
          <w:p/>
        </w:tc>
        <w:tc>
          <w:tcPr>
            <w:tcW w:type="dxa" w:w="1661"/>
          </w:tcPr>
          <w:p>
            <w:pPr>
              <w:pStyle w:val="null3"/>
            </w:pPr>
            <w:r>
              <w:rPr>
                <w:rFonts w:ascii="仿宋_GB2312" w:hAnsi="仿宋_GB2312" w:cs="仿宋_GB2312" w:eastAsia="仿宋_GB2312"/>
              </w:rPr>
              <w:t>重点难点问题分析及合理化建议</w:t>
            </w:r>
          </w:p>
        </w:tc>
        <w:tc>
          <w:tcPr>
            <w:tcW w:type="dxa" w:w="2492"/>
          </w:tcPr>
          <w:p>
            <w:pPr>
              <w:pStyle w:val="null3"/>
            </w:pPr>
            <w:r>
              <w:rPr>
                <w:rFonts w:ascii="仿宋_GB2312" w:hAnsi="仿宋_GB2312" w:cs="仿宋_GB2312" w:eastAsia="仿宋_GB2312"/>
              </w:rPr>
              <w:t>内容包括但不限于： ①重点难点分析，提出详细的应对措施 ②合理化建议。 以上内容完整、理解到位、可操作性强，符合本项目实际情况得6分；每缺少一项内容的扣3分，每有一项有缺陷扣0.5分，未提供的不得分，本项得分扣完为止。 缺陷是指内容没有结合项目实际需求、虽有内容但不完善、内容表述前后不一致、套用其他项目方案或与项目需求不匹配及其他不利于项目实施的等任意一种情形 。</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总体服务方案.docx</w:t>
            </w:r>
          </w:p>
        </w:tc>
      </w:tr>
      <w:tr>
        <w:tc>
          <w:tcPr>
            <w:tcW w:type="dxa" w:w="831"/>
            <w:vMerge/>
          </w:tcPr>
          <w:p/>
        </w:tc>
        <w:tc>
          <w:tcPr>
            <w:tcW w:type="dxa" w:w="1661"/>
          </w:tcPr>
          <w:p>
            <w:pPr>
              <w:pStyle w:val="null3"/>
            </w:pPr>
            <w:r>
              <w:rPr>
                <w:rFonts w:ascii="仿宋_GB2312" w:hAnsi="仿宋_GB2312" w:cs="仿宋_GB2312" w:eastAsia="仿宋_GB2312"/>
              </w:rPr>
              <w:t>应急服务方案</w:t>
            </w:r>
          </w:p>
        </w:tc>
        <w:tc>
          <w:tcPr>
            <w:tcW w:type="dxa" w:w="2492"/>
          </w:tcPr>
          <w:p>
            <w:pPr>
              <w:pStyle w:val="null3"/>
            </w:pPr>
            <w:r>
              <w:rPr>
                <w:rFonts w:ascii="仿宋_GB2312" w:hAnsi="仿宋_GB2312" w:cs="仿宋_GB2312" w:eastAsia="仿宋_GB2312"/>
              </w:rPr>
              <w:t>由于服务对象的特殊性，供应商针对在服务过程中服务对象身体健康出现突发应急事件，应具有健全应急方案，方案内容包含但不限于：①应急响应时间②应急处理程序③应急保障措施。 以上内容完整、理解到位、可操作性强，符合本项目实际情况得6分；每缺少一项内容的扣2分，每有一项有缺陷扣0.5分，未提供的不得分，本项得分扣完为止。 缺陷是指内容没有结合项目实际需求、虽有内容但不完善、内容表述前后不一致、套用其他项目方案或与项目需求不匹配及其他不利于项目实施的等任意一种情形 。</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总体服务方案.docx</w:t>
            </w:r>
          </w:p>
        </w:tc>
      </w:tr>
      <w:tr>
        <w:tc>
          <w:tcPr>
            <w:tcW w:type="dxa" w:w="831"/>
            <w:vMerge/>
          </w:tcPr>
          <w:p/>
        </w:tc>
        <w:tc>
          <w:tcPr>
            <w:tcW w:type="dxa" w:w="1661"/>
          </w:tcPr>
          <w:p>
            <w:pPr>
              <w:pStyle w:val="null3"/>
            </w:pPr>
            <w:r>
              <w:rPr>
                <w:rFonts w:ascii="仿宋_GB2312" w:hAnsi="仿宋_GB2312" w:cs="仿宋_GB2312" w:eastAsia="仿宋_GB2312"/>
              </w:rPr>
              <w:t>投诉受理</w:t>
            </w:r>
          </w:p>
        </w:tc>
        <w:tc>
          <w:tcPr>
            <w:tcW w:type="dxa" w:w="2492"/>
          </w:tcPr>
          <w:p>
            <w:pPr>
              <w:pStyle w:val="null3"/>
            </w:pPr>
            <w:r>
              <w:rPr>
                <w:rFonts w:ascii="仿宋_GB2312" w:hAnsi="仿宋_GB2312" w:cs="仿宋_GB2312" w:eastAsia="仿宋_GB2312"/>
              </w:rPr>
              <w:t>供应商有完善的投诉受理机制，能够对服务对象的异议做出有效回应。 投诉受理规范、有专门负责人/部门负责，制度完善计5分，有缺陷扣0.5分，扣完为止。未提供的不得分。 缺陷是指内容没有结合项目实际需求、虽有内容但不完善、内容表述前后不一致、套用其他项目方案或与项目需求不匹配及其他不利于项目实施的等任意一种情形 。</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总体服务方案.docx</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供应商能够提供详细的保障措施，包括但不限于： ①能够考虑并满足采购人及残疾人的多种需求； ②接受采购人对服务的监督、批评和建议； ③确保做好家庭医生签约服务管理工作，不发生安全等意外情况的保障措施。 以上内容完整、理解到位、可操作性强，符合本项目实际情况得9分；每缺少一项内容的扣3分，每有一项有缺陷扣0.5分，未提供的不得分，本项得分扣完为止。 缺陷是指内容没有结合项目实际需求、虽有内容但不完善、内容表述前后不一致、套用其他项目方案或与项目需求不匹配及其他不利于项目实施的等任意一种情形 。</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质量保证措施.docx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供应商针对本项目有完整的管理制度，包括但不限于： ①员工聘用管理制度； ②人员培训制度； ③服务质量检查制度； ④康复器材、设施设备安全使用管理制度； ⑤内控制度 ⑥信息反馈制度。 以上内容完整、理解到位、可操作性强，符合本项目实际情况得12分；每缺少一项内容的扣2分，每有一项有缺陷扣0.5分，未提供的不得分，本项得分扣完为止。 缺陷是指内容没有结合项目实际需求、虽有内容但不完善、内容表述前后不一致、套用其他项目方案或与项目需求不匹配及其他不利于项目实施的等任意一种情形 。</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质量保证措施.docx</w:t>
            </w:r>
          </w:p>
        </w:tc>
      </w:tr>
      <w:tr>
        <w:tc>
          <w:tcPr>
            <w:tcW w:type="dxa" w:w="831"/>
            <w:vMerge/>
          </w:tcPr>
          <w:p/>
        </w:tc>
        <w:tc>
          <w:tcPr>
            <w:tcW w:type="dxa" w:w="1661"/>
          </w:tcPr>
          <w:p>
            <w:pPr>
              <w:pStyle w:val="null3"/>
            </w:pPr>
            <w:r>
              <w:rPr>
                <w:rFonts w:ascii="仿宋_GB2312" w:hAnsi="仿宋_GB2312" w:cs="仿宋_GB2312" w:eastAsia="仿宋_GB2312"/>
              </w:rPr>
              <w:t>拟投入项目的团队人员配置</w:t>
            </w:r>
          </w:p>
        </w:tc>
        <w:tc>
          <w:tcPr>
            <w:tcW w:type="dxa" w:w="2492"/>
          </w:tcPr>
          <w:p>
            <w:pPr>
              <w:pStyle w:val="null3"/>
            </w:pPr>
            <w:r>
              <w:rPr>
                <w:rFonts w:ascii="仿宋_GB2312" w:hAnsi="仿宋_GB2312" w:cs="仿宋_GB2312" w:eastAsia="仿宋_GB2312"/>
              </w:rPr>
              <w:t>①拟投入的团队人员配置(项目管理、技术、服务人员)专业合理，人员配备齐全、岗位职责明确。团队人员配置合理、齐全、清晰得5分；团队人员配置模糊、人员不齐全、不清晰得的得3分；未提供的不得分。 ②针对本项目提供的专业技术人员需至少配备：1名相关专业医生，1名康复治疗师和1名的专业护理人员。满足以上要求得5分，不满足得0分。（提供执业证等相关证件。） ③每增加1名相关专业医生或康复治疗师或专业护理人员加1分，最高加6分。（提供执业证等相关证件。）</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拟投入项目的团队人员配置.docx</w:t>
            </w:r>
          </w:p>
        </w:tc>
      </w:tr>
      <w:tr>
        <w:tc>
          <w:tcPr>
            <w:tcW w:type="dxa" w:w="831"/>
            <w:vMerge/>
          </w:tcPr>
          <w:p/>
        </w:tc>
        <w:tc>
          <w:tcPr>
            <w:tcW w:type="dxa" w:w="1661"/>
          </w:tcPr>
          <w:p>
            <w:pPr>
              <w:pStyle w:val="null3"/>
            </w:pPr>
            <w:r>
              <w:rPr>
                <w:rFonts w:ascii="仿宋_GB2312" w:hAnsi="仿宋_GB2312" w:cs="仿宋_GB2312" w:eastAsia="仿宋_GB2312"/>
              </w:rPr>
              <w:t>拟投入项目的设备配置</w:t>
            </w:r>
          </w:p>
        </w:tc>
        <w:tc>
          <w:tcPr>
            <w:tcW w:type="dxa" w:w="2492"/>
          </w:tcPr>
          <w:p>
            <w:pPr>
              <w:pStyle w:val="null3"/>
            </w:pPr>
            <w:r>
              <w:rPr>
                <w:rFonts w:ascii="仿宋_GB2312" w:hAnsi="仿宋_GB2312" w:cs="仿宋_GB2312" w:eastAsia="仿宋_GB2312"/>
              </w:rPr>
              <w:t>针对本项目服务特点及需求提供相关的服务器材、设备进行赋分。服务设备齐全先进，配置合理得5分；服务设备不齐全，配置不合理得3分；未提供不得分。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拟投入项目的设备配置.docx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供应商针对本项目有具体的服务承诺，包括但不限于①承诺所有上岗人员在上 岗前经过专业培训②承诺若出现服务人员因事、病等不能工作的，及时调整其 他服务人员补充③确保服务工作的正常进行。 以上内容完整、理解到位、可操作性强，符合本项目实际情况得6分；每缺少一项内容的扣2分，每有一项有缺陷扣0.5分，未提供的不得分，本项得分扣完为止。 缺陷是指内容没有结合项目实际需求、虽有内容但不完善、内容表述前后不一致、套用其他项目方案或与项目需求不匹配及其他不利于项目实施的等任意一种情形 。</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供应商提供2023年1月1日以来类似项目业绩合同，每提供一份，得2分，满分10分。(以合同为准，合同页码较多的可提供首页、合同内容、金额、时间页、双方盖章页即可，弄虚作假者取消其磋商、成交资格。)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1、经符合性审查合格的供应商，其磋商报价为有效磋商报价。 2、满足磋商文件实质性要求且最终报价最低的供应商的价格为磋商基准价，其价格分为满分10分。 3、磋商报价得分=（磋商基准价/最终磋商报价）×10。 4、磋商报价不完整的，不进入磋商基准价的计算，本项得0分。4、本项目专门面向中小企业采购，不再执行价格评审优惠的扶持政策。</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详见附件：技术条款相应偏离表.docx</w:t>
      </w:r>
    </w:p>
    <w:p>
      <w:pPr>
        <w:pStyle w:val="null3"/>
        <w:ind w:firstLine="960"/>
      </w:pPr>
      <w:r>
        <w:rPr>
          <w:rFonts w:ascii="仿宋_GB2312" w:hAnsi="仿宋_GB2312" w:cs="仿宋_GB2312" w:eastAsia="仿宋_GB2312"/>
        </w:rPr>
        <w:t>详见附件：商务条款相应偏离表.docx</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详见附件：总体服务方案.docx</w:t>
      </w:r>
    </w:p>
    <w:p>
      <w:pPr>
        <w:pStyle w:val="null3"/>
        <w:ind w:firstLine="960"/>
      </w:pPr>
      <w:r>
        <w:rPr>
          <w:rFonts w:ascii="仿宋_GB2312" w:hAnsi="仿宋_GB2312" w:cs="仿宋_GB2312" w:eastAsia="仿宋_GB2312"/>
        </w:rPr>
        <w:t>详见附件：质量保证措施.docx</w:t>
      </w:r>
    </w:p>
    <w:p>
      <w:pPr>
        <w:pStyle w:val="null3"/>
        <w:ind w:firstLine="960"/>
      </w:pPr>
      <w:r>
        <w:rPr>
          <w:rFonts w:ascii="仿宋_GB2312" w:hAnsi="仿宋_GB2312" w:cs="仿宋_GB2312" w:eastAsia="仿宋_GB2312"/>
        </w:rPr>
        <w:t>详见附件：拟投入项目的团队人员配置.docx</w:t>
      </w:r>
    </w:p>
    <w:p>
      <w:pPr>
        <w:pStyle w:val="null3"/>
        <w:ind w:firstLine="960"/>
      </w:pPr>
      <w:r>
        <w:rPr>
          <w:rFonts w:ascii="仿宋_GB2312" w:hAnsi="仿宋_GB2312" w:cs="仿宋_GB2312" w:eastAsia="仿宋_GB2312"/>
        </w:rPr>
        <w:t>详见附件：拟投入项目的设备配置.docx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详见附件：磋商文件要求的其他证明资料及供应商认为有必要说明的事宜.docx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