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版本号：SXKK2026-CS-00820260416001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三原县右任书法广场改造及周边护栏安装项目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SXKK2026-CS-008</w:t>
      </w:r>
      <w:r>
        <w:br/>
      </w:r>
      <w:r>
        <w:br/>
      </w:r>
      <w:r>
        <w:br/>
      </w:r>
    </w:p>
    <w:p>
      <w:pPr>
        <w:pStyle w:val="null3"/>
        <w:jc w:val="center"/>
        <w:outlineLvl w:val="2"/>
      </w:pPr>
      <w:r>
        <w:rPr>
          <w:rFonts w:ascii="仿宋_GB2312" w:hAnsi="仿宋_GB2312" w:cs="仿宋_GB2312" w:eastAsia="仿宋_GB2312"/>
          <w:sz w:val="28"/>
          <w:b/>
        </w:rPr>
        <w:t>三原县园林绿化队</w:t>
      </w:r>
    </w:p>
    <w:p>
      <w:pPr>
        <w:pStyle w:val="null3"/>
        <w:jc w:val="center"/>
        <w:outlineLvl w:val="2"/>
      </w:pPr>
      <w:r>
        <w:rPr>
          <w:rFonts w:ascii="仿宋_GB2312" w:hAnsi="仿宋_GB2312" w:cs="仿宋_GB2312" w:eastAsia="仿宋_GB2312"/>
          <w:sz w:val="28"/>
          <w:b/>
        </w:rPr>
        <w:t>陕西夸克工程造价咨询有限公司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陕西夸克工程造价咨询有限公司</w:t>
      </w:r>
      <w:r>
        <w:rPr>
          <w:rFonts w:ascii="仿宋_GB2312" w:hAnsi="仿宋_GB2312" w:cs="仿宋_GB2312" w:eastAsia="仿宋_GB2312"/>
        </w:rPr>
        <w:t>（以下简称“代理机构”）受</w:t>
      </w:r>
      <w:r>
        <w:rPr>
          <w:rFonts w:ascii="仿宋_GB2312" w:hAnsi="仿宋_GB2312" w:cs="仿宋_GB2312" w:eastAsia="仿宋_GB2312"/>
        </w:rPr>
        <w:t>三原县园林绿化队</w:t>
      </w:r>
      <w:r>
        <w:rPr>
          <w:rFonts w:ascii="仿宋_GB2312" w:hAnsi="仿宋_GB2312" w:cs="仿宋_GB2312" w:eastAsia="仿宋_GB2312"/>
        </w:rPr>
        <w:t>委托，拟对</w:t>
      </w:r>
      <w:r>
        <w:rPr>
          <w:rFonts w:ascii="仿宋_GB2312" w:hAnsi="仿宋_GB2312" w:cs="仿宋_GB2312" w:eastAsia="仿宋_GB2312"/>
        </w:rPr>
        <w:t>三原县右任书法广场改造及周边护栏安装项目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SXKK2026-CS-008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三原县右任书法广场改造及周边护栏安装项目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广场是城市中重要的公共空间，是居民休闲娱乐、社交互动的场所，然而，随着城市的发展和人们对生活质量的要求提高，右任书法广场因植物生长、及种植导致视线、空间压抑等问题，按照县委县政府工作安排，我单位现需组织实施右任书法广场进行改造及周边护栏的安装。</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采购包1（三原县右任书法广场改造及周边护栏安装项目）：属于专门面向中小企业采购。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1、响应主体：有独立承担民事责任能力的法人、其他组织或自然人，营业执照、税务登记证、组织机构代码证（多证合一只提供营业执照，事业单位提供事业单位法人证书，自然人提供本人身份证）合法有效；</w:t>
      </w:r>
    </w:p>
    <w:p>
      <w:pPr>
        <w:pStyle w:val="null3"/>
      </w:pPr>
      <w:r>
        <w:rPr>
          <w:rFonts w:ascii="仿宋_GB2312" w:hAnsi="仿宋_GB2312" w:cs="仿宋_GB2312" w:eastAsia="仿宋_GB2312"/>
        </w:rPr>
        <w:t>2、法定代表人授权委托书：提供法定代表人授权委托书及委托代理人有效身份证原件，法定代表人直接参加开标会议，需提供法定代表人身份证明及其有效的身份证原件；</w:t>
      </w:r>
    </w:p>
    <w:p>
      <w:pPr>
        <w:pStyle w:val="null3"/>
      </w:pPr>
      <w:r>
        <w:rPr>
          <w:rFonts w:ascii="仿宋_GB2312" w:hAnsi="仿宋_GB2312" w:cs="仿宋_GB2312" w:eastAsia="仿宋_GB2312"/>
        </w:rPr>
        <w:t>3、财务状况报告：提供2024年度或2025年度的财务报表或具有财务审计资质的单位出具的财务报告（至少包括资产负债表和利润表，成立时间至提交响应文件截止时间不足一年的可提供成立后任意时段的资产负债表），或银行出具的资信证明；</w:t>
      </w:r>
    </w:p>
    <w:p>
      <w:pPr>
        <w:pStyle w:val="null3"/>
      </w:pPr>
      <w:r>
        <w:rPr>
          <w:rFonts w:ascii="仿宋_GB2312" w:hAnsi="仿宋_GB2312" w:cs="仿宋_GB2312" w:eastAsia="仿宋_GB2312"/>
        </w:rPr>
        <w:t>4、税收缴纳证明：提供开标截止时间前半年内至少一个月的纳税证明或完税证明；依法免税的单位应提供相关证明材料；</w:t>
      </w:r>
    </w:p>
    <w:p>
      <w:pPr>
        <w:pStyle w:val="null3"/>
      </w:pPr>
      <w:r>
        <w:rPr>
          <w:rFonts w:ascii="仿宋_GB2312" w:hAnsi="仿宋_GB2312" w:cs="仿宋_GB2312" w:eastAsia="仿宋_GB2312"/>
        </w:rPr>
        <w:t>5、社会保障资金缴纳证明：提供开标截止时间前半年内至少一个月的社保机构开具的社会保险参保缴费情况证明；依法不需要缴纳社会保障资金的单位应提供相关证明材料；</w:t>
      </w:r>
    </w:p>
    <w:p>
      <w:pPr>
        <w:pStyle w:val="null3"/>
      </w:pPr>
      <w:r>
        <w:rPr>
          <w:rFonts w:ascii="仿宋_GB2312" w:hAnsi="仿宋_GB2312" w:cs="仿宋_GB2312" w:eastAsia="仿宋_GB2312"/>
        </w:rPr>
        <w:t>6、信用中国：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7、没有重大违法记录的书面声明：参加政府采购活动前3年内在经营活动中没有重大违法记录的书面声明</w:t>
      </w:r>
    </w:p>
    <w:p>
      <w:pPr>
        <w:pStyle w:val="null3"/>
      </w:pPr>
      <w:r>
        <w:rPr>
          <w:rFonts w:ascii="仿宋_GB2312" w:hAnsi="仿宋_GB2312" w:cs="仿宋_GB2312" w:eastAsia="仿宋_GB2312"/>
        </w:rPr>
        <w:t>8、非联合体声明：本项目不接受联合体投标，提供非联合体投标声明。</w:t>
      </w:r>
    </w:p>
    <w:p>
      <w:pPr>
        <w:pStyle w:val="null3"/>
      </w:pPr>
      <w:r>
        <w:rPr>
          <w:rFonts w:ascii="仿宋_GB2312" w:hAnsi="仿宋_GB2312" w:cs="仿宋_GB2312" w:eastAsia="仿宋_GB2312"/>
        </w:rPr>
        <w:t>9、公司资质：供应商须具备建设行政主管部门颁发的市政公用工程施工总承包三级及以上资质并具备有效的安全生产许可证。</w:t>
      </w:r>
    </w:p>
    <w:p>
      <w:pPr>
        <w:pStyle w:val="null3"/>
      </w:pPr>
      <w:r>
        <w:rPr>
          <w:rFonts w:ascii="仿宋_GB2312" w:hAnsi="仿宋_GB2312" w:cs="仿宋_GB2312" w:eastAsia="仿宋_GB2312"/>
        </w:rPr>
        <w:t>10、拟派项目负责人资质：拟派项目经理须具备市政公用工程专业二级及以上注册建造师证书并具备相应有效的安全生产考核合格证书（B证），须在本单位注册，且无在建工程、无不良记录（提供项目经理无在建工程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三原县园林绿化队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三原县临履街2号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三原县园林绿化队经办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029-32276601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陕西夸克工程造价咨询有限公司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陕西省西安市未央区萧家北巷文景尚品 12 楼 1218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邬经理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13325304067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席先生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029-32268653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采购包1：873,752.80元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代理服务费收费标准：代理服务费收费标准：代理服务费用收取对象：中标/成交供应商 代理服务费收费标准：参照国家计委计价格[2002]1980号及发改办价格[2003]857号通知规定 ，由成交供应商支付采购代理服务费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三原县园林绿化队</w:t>
      </w:r>
      <w:r>
        <w:rPr>
          <w:rFonts w:ascii="仿宋_GB2312" w:hAnsi="仿宋_GB2312" w:cs="仿宋_GB2312" w:eastAsia="仿宋_GB2312"/>
        </w:rPr>
        <w:t>和</w:t>
      </w:r>
      <w:r>
        <w:rPr>
          <w:rFonts w:ascii="仿宋_GB2312" w:hAnsi="仿宋_GB2312" w:cs="仿宋_GB2312" w:eastAsia="仿宋_GB2312"/>
        </w:rPr>
        <w:t>陕西夸克工程造价咨询有限公司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三原县园林绿化队</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陕西夸克工程造价咨询有限公司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三原县园林绿化队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陕西夸克工程造价咨询有限公司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达到工程施工质量验收合格标准及设计要求，满足项目要求。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陕西夸克工程造价咨询有限公司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陕西夸克工程造价咨询有限公司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陕西夸克工程造价咨询有限公司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联系人：邬经理</w:t>
      </w:r>
    </w:p>
    <w:p>
      <w:pPr>
        <w:pStyle w:val="null3"/>
      </w:pPr>
      <w:r>
        <w:rPr>
          <w:rFonts w:ascii="仿宋_GB2312" w:hAnsi="仿宋_GB2312" w:cs="仿宋_GB2312" w:eastAsia="仿宋_GB2312"/>
        </w:rPr>
        <w:t>联系电话：13325304067</w:t>
      </w:r>
    </w:p>
    <w:p>
      <w:pPr>
        <w:pStyle w:val="null3"/>
      </w:pPr>
      <w:r>
        <w:rPr>
          <w:rFonts w:ascii="仿宋_GB2312" w:hAnsi="仿宋_GB2312" w:cs="仿宋_GB2312" w:eastAsia="仿宋_GB2312"/>
        </w:rPr>
        <w:t>地址：陕西省西安市未央区萧家北巷文景尚品 12 楼 1218 室</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873,752.80</w:t>
      </w:r>
    </w:p>
    <w:p>
      <w:pPr>
        <w:pStyle w:val="null3"/>
      </w:pPr>
      <w:r>
        <w:rPr>
          <w:rFonts w:ascii="仿宋_GB2312" w:hAnsi="仿宋_GB2312" w:cs="仿宋_GB2312" w:eastAsia="仿宋_GB2312"/>
        </w:rPr>
        <w:t>采购包最高限价（元）: 873,752.80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三原县右任书法广场改造及周边护栏安装项目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873,752.80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标的名称：三原县右任书法广场改造及周边护栏安装项目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360"/>
              <w:jc w:val="left"/>
            </w:pPr>
            <w:r>
              <w:rPr>
                <w:rFonts w:ascii="仿宋_GB2312" w:hAnsi="仿宋_GB2312" w:cs="仿宋_GB2312" w:eastAsia="仿宋_GB2312"/>
                <w:sz w:val="18"/>
                <w:b/>
                <w:color w:val="1F2329"/>
              </w:rPr>
              <w:t>一、</w:t>
            </w:r>
            <w:r>
              <w:rPr>
                <w:rFonts w:ascii="仿宋_GB2312" w:hAnsi="仿宋_GB2312" w:cs="仿宋_GB2312" w:eastAsia="仿宋_GB2312"/>
                <w:sz w:val="18"/>
                <w:b/>
                <w:color w:val="1F2329"/>
              </w:rPr>
              <w:t>总体工程要求</w:t>
            </w:r>
          </w:p>
          <w:p>
            <w:pPr>
              <w:pStyle w:val="null3"/>
              <w:ind w:left="-360"/>
              <w:jc w:val="left"/>
            </w:pPr>
            <w:r>
              <w:rPr>
                <w:rFonts w:ascii="仿宋_GB2312" w:hAnsi="仿宋_GB2312" w:cs="仿宋_GB2312" w:eastAsia="仿宋_GB2312"/>
                <w:sz w:val="18"/>
                <w:color w:val="1F2329"/>
              </w:rPr>
              <w:t>1、</w:t>
            </w:r>
            <w:r>
              <w:rPr>
                <w:rFonts w:ascii="仿宋_GB2312" w:hAnsi="仿宋_GB2312" w:cs="仿宋_GB2312" w:eastAsia="仿宋_GB2312"/>
                <w:sz w:val="18"/>
                <w:color w:val="1F2329"/>
              </w:rPr>
              <w:t>所有施工内容须符合国家、行业及地方现行相关规范、标准与设计文件要求，工程质量达到</w:t>
            </w:r>
            <w:r>
              <w:rPr>
                <w:rFonts w:ascii="仿宋_GB2312" w:hAnsi="仿宋_GB2312" w:cs="仿宋_GB2312" w:eastAsia="仿宋_GB2312"/>
                <w:sz w:val="18"/>
                <w:b/>
                <w:color w:val="1F2329"/>
              </w:rPr>
              <w:t>合格</w:t>
            </w:r>
            <w:r>
              <w:rPr>
                <w:rFonts w:ascii="仿宋_GB2312" w:hAnsi="仿宋_GB2312" w:cs="仿宋_GB2312" w:eastAsia="仿宋_GB2312"/>
                <w:sz w:val="18"/>
                <w:color w:val="1F2329"/>
              </w:rPr>
              <w:t>及以上标准。</w:t>
            </w:r>
          </w:p>
          <w:p>
            <w:pPr>
              <w:pStyle w:val="null3"/>
              <w:ind w:left="-360"/>
              <w:jc w:val="left"/>
            </w:pPr>
            <w:r>
              <w:rPr>
                <w:rFonts w:ascii="仿宋_GB2312" w:hAnsi="仿宋_GB2312" w:cs="仿宋_GB2312" w:eastAsia="仿宋_GB2312"/>
                <w:sz w:val="18"/>
                <w:color w:val="1F2329"/>
              </w:rPr>
              <w:t>2、</w:t>
            </w:r>
            <w:r>
              <w:rPr>
                <w:rFonts w:ascii="仿宋_GB2312" w:hAnsi="仿宋_GB2312" w:cs="仿宋_GB2312" w:eastAsia="仿宋_GB2312"/>
                <w:sz w:val="18"/>
                <w:color w:val="1F2329"/>
              </w:rPr>
              <w:t>施工过程安全文明，满足现场管理、环境保护与市容管控要求，不影响周边正常通行与公共秩序。</w:t>
            </w:r>
          </w:p>
          <w:p>
            <w:pPr>
              <w:pStyle w:val="null3"/>
              <w:ind w:left="-360"/>
              <w:jc w:val="left"/>
            </w:pPr>
            <w:r>
              <w:rPr>
                <w:rFonts w:ascii="仿宋_GB2312" w:hAnsi="仿宋_GB2312" w:cs="仿宋_GB2312" w:eastAsia="仿宋_GB2312"/>
                <w:sz w:val="18"/>
                <w:b/>
                <w:color w:val="1F2329"/>
              </w:rPr>
              <w:t>二、</w:t>
            </w:r>
            <w:r>
              <w:rPr>
                <w:rFonts w:ascii="仿宋_GB2312" w:hAnsi="仿宋_GB2312" w:cs="仿宋_GB2312" w:eastAsia="仿宋_GB2312"/>
                <w:sz w:val="18"/>
                <w:b/>
                <w:color w:val="1F2329"/>
              </w:rPr>
              <w:t>绿化改造工程</w:t>
            </w:r>
          </w:p>
          <w:p>
            <w:pPr>
              <w:pStyle w:val="null3"/>
              <w:ind w:left="-360"/>
              <w:jc w:val="left"/>
            </w:pPr>
            <w:r>
              <w:rPr>
                <w:rFonts w:ascii="仿宋_GB2312" w:hAnsi="仿宋_GB2312" w:cs="仿宋_GB2312" w:eastAsia="仿宋_GB2312"/>
                <w:sz w:val="18"/>
                <w:color w:val="1F2329"/>
              </w:rPr>
              <w:t>1、</w:t>
            </w:r>
            <w:r>
              <w:rPr>
                <w:rFonts w:ascii="仿宋_GB2312" w:hAnsi="仿宋_GB2312" w:cs="仿宋_GB2312" w:eastAsia="仿宋_GB2312"/>
                <w:sz w:val="18"/>
                <w:color w:val="1F2329"/>
              </w:rPr>
              <w:t>苗木选用</w:t>
            </w:r>
            <w:r>
              <w:rPr>
                <w:rFonts w:ascii="仿宋_GB2312" w:hAnsi="仿宋_GB2312" w:cs="仿宋_GB2312" w:eastAsia="仿宋_GB2312"/>
                <w:sz w:val="18"/>
                <w:b/>
                <w:color w:val="1F2329"/>
              </w:rPr>
              <w:t>健康无病虫害、长势优良</w:t>
            </w:r>
            <w:r>
              <w:rPr>
                <w:rFonts w:ascii="仿宋_GB2312" w:hAnsi="仿宋_GB2312" w:cs="仿宋_GB2312" w:eastAsia="仿宋_GB2312"/>
                <w:sz w:val="18"/>
                <w:color w:val="1F2329"/>
              </w:rPr>
              <w:t>的合格植株，优先选用本地适生品种，符合项目景观与生态要求。</w:t>
            </w:r>
          </w:p>
          <w:p>
            <w:pPr>
              <w:pStyle w:val="null3"/>
              <w:ind w:left="-360"/>
              <w:jc w:val="left"/>
            </w:pPr>
            <w:r>
              <w:rPr>
                <w:rFonts w:ascii="仿宋_GB2312" w:hAnsi="仿宋_GB2312" w:cs="仿宋_GB2312" w:eastAsia="仿宋_GB2312"/>
                <w:sz w:val="18"/>
                <w:color w:val="1F2329"/>
              </w:rPr>
              <w:t>2、</w:t>
            </w:r>
            <w:r>
              <w:rPr>
                <w:rFonts w:ascii="仿宋_GB2312" w:hAnsi="仿宋_GB2312" w:cs="仿宋_GB2312" w:eastAsia="仿宋_GB2312"/>
                <w:sz w:val="18"/>
                <w:color w:val="1F2329"/>
              </w:rPr>
              <w:t>苗木移植、种植、养护满足成活与景观效果标准，养护期内保证植株正常生长，出现死亡或长势不良须无偿补植更换。</w:t>
            </w:r>
          </w:p>
          <w:p>
            <w:pPr>
              <w:pStyle w:val="null3"/>
              <w:ind w:left="-360"/>
              <w:jc w:val="left"/>
            </w:pPr>
            <w:r>
              <w:rPr>
                <w:rFonts w:ascii="仿宋_GB2312" w:hAnsi="仿宋_GB2312" w:cs="仿宋_GB2312" w:eastAsia="仿宋_GB2312"/>
                <w:sz w:val="18"/>
                <w:color w:val="1F2329"/>
              </w:rPr>
              <w:t>3、</w:t>
            </w:r>
            <w:r>
              <w:rPr>
                <w:rFonts w:ascii="仿宋_GB2312" w:hAnsi="仿宋_GB2312" w:cs="仿宋_GB2312" w:eastAsia="仿宋_GB2312"/>
                <w:sz w:val="18"/>
                <w:color w:val="1F2329"/>
              </w:rPr>
              <w:t>地被植物铺设平整、密度均匀、无明显裸露，整体景观效果协调统一。</w:t>
            </w:r>
          </w:p>
          <w:p>
            <w:pPr>
              <w:pStyle w:val="null3"/>
              <w:ind w:left="-360"/>
              <w:jc w:val="left"/>
            </w:pPr>
            <w:r>
              <w:rPr>
                <w:rFonts w:ascii="仿宋_GB2312" w:hAnsi="仿宋_GB2312" w:cs="仿宋_GB2312" w:eastAsia="仿宋_GB2312"/>
                <w:sz w:val="18"/>
                <w:color w:val="1F2329"/>
              </w:rPr>
              <w:t>4、</w:t>
            </w:r>
            <w:r>
              <w:rPr>
                <w:rFonts w:ascii="仿宋_GB2312" w:hAnsi="仿宋_GB2312" w:cs="仿宋_GB2312" w:eastAsia="仿宋_GB2312"/>
                <w:sz w:val="18"/>
                <w:color w:val="1F2329"/>
              </w:rPr>
              <w:t>场地整理、地形塑造、土壤改良符合绿化种植与使用功能要求，排水顺畅、地面平整。</w:t>
            </w:r>
          </w:p>
          <w:p>
            <w:pPr>
              <w:pStyle w:val="null3"/>
              <w:ind w:left="-360"/>
              <w:jc w:val="left"/>
            </w:pPr>
            <w:r>
              <w:rPr>
                <w:rFonts w:ascii="仿宋_GB2312" w:hAnsi="仿宋_GB2312" w:cs="仿宋_GB2312" w:eastAsia="仿宋_GB2312"/>
                <w:sz w:val="18"/>
                <w:b/>
                <w:color w:val="1F2329"/>
              </w:rPr>
              <w:t>三、</w:t>
            </w:r>
            <w:r>
              <w:rPr>
                <w:rFonts w:ascii="仿宋_GB2312" w:hAnsi="仿宋_GB2312" w:cs="仿宋_GB2312" w:eastAsia="仿宋_GB2312"/>
                <w:sz w:val="18"/>
                <w:b/>
                <w:color w:val="1F2329"/>
              </w:rPr>
              <w:t>护栏安装工程</w:t>
            </w:r>
          </w:p>
          <w:p>
            <w:pPr>
              <w:pStyle w:val="null3"/>
              <w:ind w:left="-360"/>
              <w:jc w:val="left"/>
            </w:pPr>
            <w:r>
              <w:rPr>
                <w:rFonts w:ascii="仿宋_GB2312" w:hAnsi="仿宋_GB2312" w:cs="仿宋_GB2312" w:eastAsia="仿宋_GB2312"/>
                <w:sz w:val="18"/>
                <w:color w:val="1F2329"/>
              </w:rPr>
              <w:t>1、</w:t>
            </w:r>
            <w:r>
              <w:rPr>
                <w:rFonts w:ascii="仿宋_GB2312" w:hAnsi="仿宋_GB2312" w:cs="仿宋_GB2312" w:eastAsia="仿宋_GB2312"/>
                <w:sz w:val="18"/>
                <w:color w:val="1F2329"/>
              </w:rPr>
              <w:t>护栏材质、规格、结构满足</w:t>
            </w:r>
            <w:r>
              <w:rPr>
                <w:rFonts w:ascii="仿宋_GB2312" w:hAnsi="仿宋_GB2312" w:cs="仿宋_GB2312" w:eastAsia="仿宋_GB2312"/>
                <w:sz w:val="18"/>
                <w:b/>
                <w:color w:val="1F2329"/>
              </w:rPr>
              <w:t>安全、稳固、耐用、美观</w:t>
            </w:r>
            <w:r>
              <w:rPr>
                <w:rFonts w:ascii="仿宋_GB2312" w:hAnsi="仿宋_GB2312" w:cs="仿宋_GB2312" w:eastAsia="仿宋_GB2312"/>
                <w:sz w:val="18"/>
                <w:color w:val="1F2329"/>
              </w:rPr>
              <w:t>要求，与周边环境相协调。</w:t>
            </w:r>
          </w:p>
          <w:p>
            <w:pPr>
              <w:pStyle w:val="null3"/>
              <w:ind w:left="-360"/>
              <w:jc w:val="left"/>
            </w:pPr>
            <w:r>
              <w:rPr>
                <w:rFonts w:ascii="仿宋_GB2312" w:hAnsi="仿宋_GB2312" w:cs="仿宋_GB2312" w:eastAsia="仿宋_GB2312"/>
                <w:sz w:val="18"/>
                <w:color w:val="1F2329"/>
              </w:rPr>
              <w:t>2、</w:t>
            </w:r>
            <w:r>
              <w:rPr>
                <w:rFonts w:ascii="仿宋_GB2312" w:hAnsi="仿宋_GB2312" w:cs="仿宋_GB2312" w:eastAsia="仿宋_GB2312"/>
                <w:sz w:val="18"/>
                <w:color w:val="1F2329"/>
              </w:rPr>
              <w:t>护栏安装牢固、顺直、无松动、无明显变形，连接件可靠，抗风、防撞等性能满足使用安全。</w:t>
            </w:r>
          </w:p>
          <w:p>
            <w:pPr>
              <w:pStyle w:val="null3"/>
              <w:ind w:left="-360"/>
              <w:jc w:val="left"/>
            </w:pPr>
            <w:r>
              <w:rPr>
                <w:rFonts w:ascii="仿宋_GB2312" w:hAnsi="仿宋_GB2312" w:cs="仿宋_GB2312" w:eastAsia="仿宋_GB2312"/>
                <w:sz w:val="18"/>
                <w:color w:val="1F2329"/>
              </w:rPr>
              <w:t>3、</w:t>
            </w:r>
            <w:r>
              <w:rPr>
                <w:rFonts w:ascii="仿宋_GB2312" w:hAnsi="仿宋_GB2312" w:cs="仿宋_GB2312" w:eastAsia="仿宋_GB2312"/>
                <w:sz w:val="18"/>
                <w:color w:val="1F2329"/>
              </w:rPr>
              <w:t>表面处理工艺达标，防锈、防腐蚀、耐候性良好，长期使用不易褪色、起皮、锈蚀。</w:t>
            </w:r>
          </w:p>
          <w:p>
            <w:pPr>
              <w:pStyle w:val="null3"/>
              <w:ind w:left="-360"/>
              <w:jc w:val="left"/>
            </w:pPr>
            <w:r>
              <w:rPr>
                <w:rFonts w:ascii="仿宋_GB2312" w:hAnsi="仿宋_GB2312" w:cs="仿宋_GB2312" w:eastAsia="仿宋_GB2312"/>
                <w:sz w:val="18"/>
                <w:b/>
                <w:color w:val="1F2329"/>
              </w:rPr>
              <w:t>四、</w:t>
            </w:r>
            <w:r>
              <w:rPr>
                <w:rFonts w:ascii="仿宋_GB2312" w:hAnsi="仿宋_GB2312" w:cs="仿宋_GB2312" w:eastAsia="仿宋_GB2312"/>
                <w:sz w:val="18"/>
                <w:b/>
                <w:color w:val="1F2329"/>
              </w:rPr>
              <w:t>设施与观感要求</w:t>
            </w:r>
          </w:p>
          <w:p>
            <w:pPr>
              <w:pStyle w:val="null3"/>
              <w:ind w:left="-360"/>
              <w:jc w:val="left"/>
            </w:pPr>
            <w:r>
              <w:rPr>
                <w:rFonts w:ascii="仿宋_GB2312" w:hAnsi="仿宋_GB2312" w:cs="仿宋_GB2312" w:eastAsia="仿宋_GB2312"/>
                <w:sz w:val="18"/>
                <w:color w:val="1F2329"/>
              </w:rPr>
              <w:t>1、</w:t>
            </w:r>
            <w:r>
              <w:rPr>
                <w:rFonts w:ascii="仿宋_GB2312" w:hAnsi="仿宋_GB2312" w:cs="仿宋_GB2312" w:eastAsia="仿宋_GB2312"/>
                <w:sz w:val="18"/>
                <w:color w:val="1F2329"/>
              </w:rPr>
              <w:t>改造后广场空间开阔、视线通透、使用舒适，满足市民休闲、活动需求。</w:t>
            </w:r>
          </w:p>
          <w:p>
            <w:pPr>
              <w:pStyle w:val="null3"/>
              <w:ind w:left="-360"/>
              <w:jc w:val="left"/>
            </w:pPr>
            <w:r>
              <w:rPr>
                <w:rFonts w:ascii="仿宋_GB2312" w:hAnsi="仿宋_GB2312" w:cs="仿宋_GB2312" w:eastAsia="仿宋_GB2312"/>
                <w:sz w:val="18"/>
                <w:color w:val="1F2329"/>
              </w:rPr>
              <w:t>2、</w:t>
            </w:r>
            <w:r>
              <w:rPr>
                <w:rFonts w:ascii="仿宋_GB2312" w:hAnsi="仿宋_GB2312" w:cs="仿宋_GB2312" w:eastAsia="仿宋_GB2312"/>
                <w:sz w:val="18"/>
                <w:color w:val="1F2329"/>
              </w:rPr>
              <w:t>所有设施线条顺直、接缝严密、表面洁净，整体外观整洁美观，符合城市公共空间品质要求。</w:t>
            </w:r>
          </w:p>
          <w:p>
            <w:pPr>
              <w:pStyle w:val="null3"/>
              <w:ind w:left="-360"/>
              <w:jc w:val="left"/>
            </w:pPr>
            <w:r>
              <w:rPr>
                <w:rFonts w:ascii="仿宋_GB2312" w:hAnsi="仿宋_GB2312" w:cs="仿宋_GB2312" w:eastAsia="仿宋_GB2312"/>
                <w:sz w:val="18"/>
                <w:b/>
                <w:color w:val="1F2329"/>
              </w:rPr>
              <w:t>五、</w:t>
            </w:r>
            <w:r>
              <w:rPr>
                <w:rFonts w:ascii="仿宋_GB2312" w:hAnsi="仿宋_GB2312" w:cs="仿宋_GB2312" w:eastAsia="仿宋_GB2312"/>
                <w:sz w:val="18"/>
                <w:b/>
                <w:color w:val="1F2329"/>
              </w:rPr>
              <w:t>工期与维保要求</w:t>
            </w:r>
          </w:p>
          <w:p>
            <w:pPr>
              <w:pStyle w:val="null3"/>
              <w:ind w:left="-360"/>
              <w:jc w:val="left"/>
            </w:pPr>
            <w:r>
              <w:rPr>
                <w:rFonts w:ascii="仿宋_GB2312" w:hAnsi="仿宋_GB2312" w:cs="仿宋_GB2312" w:eastAsia="仿宋_GB2312"/>
                <w:sz w:val="18"/>
                <w:color w:val="1F2329"/>
              </w:rPr>
              <w:t>1、</w:t>
            </w:r>
            <w:r>
              <w:rPr>
                <w:rFonts w:ascii="仿宋_GB2312" w:hAnsi="仿宋_GB2312" w:cs="仿宋_GB2312" w:eastAsia="仿宋_GB2312"/>
                <w:sz w:val="18"/>
                <w:color w:val="1F2329"/>
              </w:rPr>
              <w:t>严格按约定工期完成全部施工内容，按期交付使用。</w:t>
            </w:r>
          </w:p>
          <w:p>
            <w:pPr>
              <w:pStyle w:val="null3"/>
              <w:ind w:left="-360"/>
              <w:jc w:val="left"/>
            </w:pPr>
            <w:r>
              <w:rPr>
                <w:rFonts w:ascii="仿宋_GB2312" w:hAnsi="仿宋_GB2312" w:cs="仿宋_GB2312" w:eastAsia="仿宋_GB2312"/>
                <w:sz w:val="18"/>
                <w:color w:val="1F2329"/>
              </w:rPr>
              <w:t>2、</w:t>
            </w:r>
            <w:r>
              <w:rPr>
                <w:rFonts w:ascii="仿宋_GB2312" w:hAnsi="仿宋_GB2312" w:cs="仿宋_GB2312" w:eastAsia="仿宋_GB2312"/>
                <w:sz w:val="18"/>
                <w:color w:val="1F2329"/>
              </w:rPr>
              <w:t>质保及养护期内提供</w:t>
            </w:r>
            <w:r>
              <w:rPr>
                <w:rFonts w:ascii="仿宋_GB2312" w:hAnsi="仿宋_GB2312" w:cs="仿宋_GB2312" w:eastAsia="仿宋_GB2312"/>
                <w:sz w:val="18"/>
                <w:b/>
                <w:color w:val="1F2329"/>
              </w:rPr>
              <w:t>免费维保服务</w:t>
            </w:r>
            <w:r>
              <w:rPr>
                <w:rFonts w:ascii="仿宋_GB2312" w:hAnsi="仿宋_GB2312" w:cs="仿宋_GB2312" w:eastAsia="仿宋_GB2312"/>
                <w:sz w:val="18"/>
                <w:color w:val="1F2329"/>
              </w:rPr>
              <w:t>，接到通知后及时响应处置，确保设施正常使用。</w:t>
            </w:r>
          </w:p>
          <w:p>
            <w:pPr>
              <w:pStyle w:val="null3"/>
              <w:ind w:left="-360"/>
              <w:jc w:val="left"/>
            </w:pPr>
            <w:r>
              <w:rPr>
                <w:rFonts w:ascii="仿宋_GB2312" w:hAnsi="仿宋_GB2312" w:cs="仿宋_GB2312" w:eastAsia="仿宋_GB2312"/>
                <w:sz w:val="18"/>
                <w:b/>
                <w:color w:val="1F2329"/>
              </w:rPr>
              <w:t>六</w:t>
            </w:r>
            <w:r>
              <w:rPr>
                <w:rFonts w:ascii="仿宋_GB2312" w:hAnsi="仿宋_GB2312" w:cs="仿宋_GB2312" w:eastAsia="仿宋_GB2312"/>
                <w:sz w:val="18"/>
                <w:b/>
                <w:color w:val="1F2329"/>
              </w:rPr>
              <w:t>其他通用要求</w:t>
            </w:r>
          </w:p>
          <w:p>
            <w:pPr>
              <w:pStyle w:val="null3"/>
              <w:ind w:left="-360"/>
              <w:jc w:val="left"/>
            </w:pPr>
            <w:r>
              <w:rPr>
                <w:rFonts w:ascii="仿宋_GB2312" w:hAnsi="仿宋_GB2312" w:cs="仿宋_GB2312" w:eastAsia="仿宋_GB2312"/>
                <w:sz w:val="18"/>
                <w:color w:val="1F2329"/>
              </w:rPr>
              <w:t>1、</w:t>
            </w:r>
            <w:r>
              <w:rPr>
                <w:rFonts w:ascii="仿宋_GB2312" w:hAnsi="仿宋_GB2312" w:cs="仿宋_GB2312" w:eastAsia="仿宋_GB2312"/>
                <w:sz w:val="18"/>
                <w:color w:val="1F2329"/>
              </w:rPr>
              <w:t>施工材料均为</w:t>
            </w:r>
            <w:r>
              <w:rPr>
                <w:rFonts w:ascii="仿宋_GB2312" w:hAnsi="仿宋_GB2312" w:cs="仿宋_GB2312" w:eastAsia="仿宋_GB2312"/>
                <w:sz w:val="18"/>
                <w:b/>
                <w:color w:val="1F2329"/>
              </w:rPr>
              <w:t>全新合格产品</w:t>
            </w:r>
            <w:r>
              <w:rPr>
                <w:rFonts w:ascii="仿宋_GB2312" w:hAnsi="仿宋_GB2312" w:cs="仿宋_GB2312" w:eastAsia="仿宋_GB2312"/>
                <w:sz w:val="18"/>
                <w:color w:val="1F2329"/>
              </w:rPr>
              <w:t>，具备合格证明，严禁使用不合格、淘汰或伪劣产品。</w:t>
            </w:r>
          </w:p>
          <w:p>
            <w:pPr>
              <w:pStyle w:val="null3"/>
              <w:ind w:left="-360"/>
              <w:jc w:val="left"/>
            </w:pPr>
            <w:r>
              <w:rPr>
                <w:rFonts w:ascii="仿宋_GB2312" w:hAnsi="仿宋_GB2312" w:cs="仿宋_GB2312" w:eastAsia="仿宋_GB2312"/>
                <w:sz w:val="18"/>
                <w:color w:val="1F2329"/>
              </w:rPr>
              <w:t>2、</w:t>
            </w:r>
            <w:r>
              <w:rPr>
                <w:rFonts w:ascii="仿宋_GB2312" w:hAnsi="仿宋_GB2312" w:cs="仿宋_GB2312" w:eastAsia="仿宋_GB2312"/>
                <w:sz w:val="18"/>
                <w:color w:val="1F2329"/>
              </w:rPr>
              <w:t>工程完成后清理现场，做到工完场清，符合验收移交条件。</w:t>
            </w:r>
          </w:p>
          <w:p>
            <w:pPr>
              <w:pStyle w:val="null3"/>
              <w:ind w:firstLine="420"/>
              <w:jc w:val="both"/>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执行国家、行业现行有效规范，工程质量合格。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 方案.docx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XXXX或XXXX年度经审计的财务报告（包含审计报告和审计报告中所涉及的财务报表和报表附注），②可提供XXXX或XXXX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有独立承担民事责任能力的法人、其他组织或自然人，营业执照、税务登记证、组织机构代码证（多证合一只提供营业执照，事业单位提供事业单位法人证书，自然人提供本人身份证）合法有效；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提供法定代表人授权委托书及委托代理人有效身份证原件，法定代表人直接参加开标会议，需提供法定代表人身份证明及其有效的身份证原件；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的财务报表或具有财务审计资质的单位出具的财务报告（至少包括资产负债表和利润表，成立时间至提交响应文件截止时间不足一年的可提供成立后任意时段的资产负债表），或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提供开标截止时间前半年内至少一个月的纳税证明或完税证明；依法免税的单位应提供相关证明材料；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提供开标截止时间前半年内至少一个月的社保机构开具的社会保险参保缴费情况证明；依法不需要缴纳社会保障资金的单位应提供相关证明材料；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本项目不接受联合体投标，提供非联合体投标声明。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公司资质</w:t>
            </w:r>
          </w:p>
        </w:tc>
        <w:tc>
          <w:tcPr>
            <w:tcW w:type="dxa" w:w="3322"/>
          </w:tcPr>
          <w:p>
            <w:pPr>
              <w:pStyle w:val="null3"/>
            </w:pPr>
            <w:r>
              <w:rPr>
                <w:rFonts w:ascii="仿宋_GB2312" w:hAnsi="仿宋_GB2312" w:cs="仿宋_GB2312" w:eastAsia="仿宋_GB2312"/>
              </w:rPr>
              <w:t>供应商须具备建设行政主管部门颁发的市政公用工程施工总承包三级及以上资质并具备有效的安全生产许可证。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拟派项目负责人资质</w:t>
            </w:r>
          </w:p>
        </w:tc>
        <w:tc>
          <w:tcPr>
            <w:tcW w:type="dxa" w:w="3322"/>
          </w:tcPr>
          <w:p>
            <w:pPr>
              <w:pStyle w:val="null3"/>
            </w:pPr>
            <w:r>
              <w:rPr>
                <w:rFonts w:ascii="仿宋_GB2312" w:hAnsi="仿宋_GB2312" w:cs="仿宋_GB2312" w:eastAsia="仿宋_GB2312"/>
              </w:rPr>
              <w:t>拟派项目经理须具备市政公用工程专业二级及以上注册建造师证书并具备相应有效的安全生产考核合格证书（B证），须在本单位注册，且无在建工程、无不良记录（提供项目经理无在建工程承诺书）</w:t>
            </w:r>
          </w:p>
        </w:tc>
        <w:tc>
          <w:tcPr>
            <w:tcW w:type="dxa" w:w="1661"/>
          </w:tcPr>
          <w:p>
            <w:pPr>
              <w:pStyle w:val="null3"/>
            </w:pPr>
            <w:r>
              <w:rPr>
                <w:rFonts w:ascii="仿宋_GB2312" w:hAnsi="仿宋_GB2312" w:cs="仿宋_GB2312" w:eastAsia="仿宋_GB2312"/>
              </w:rPr>
              <w:t>项目管理机构组成表 供应商应提交的相关资格证明材料 响应函 主要人员简历表</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投标人名称应与有效存续的企业营业执照/事业单位法人证书/专业服务机构执业许可证/民办非企业单位登记证书一致</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方案.docx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报价唯一，且没有超过采购预算(最高限价）</w:t>
            </w:r>
          </w:p>
        </w:tc>
        <w:tc>
          <w:tcPr>
            <w:tcW w:type="dxa" w:w="1661"/>
          </w:tcPr>
          <w:p>
            <w:pPr>
              <w:pStyle w:val="null3"/>
            </w:pPr>
            <w:r>
              <w:rPr>
                <w:rFonts w:ascii="仿宋_GB2312" w:hAnsi="仿宋_GB2312" w:cs="仿宋_GB2312" w:eastAsia="仿宋_GB2312"/>
              </w:rPr>
              <w:t>响应文件封面 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招标有效期是否满足招标最低要求90天</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方案.docx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响应文件的签署、加盖印章合格有效；提供的各种证明文件、数据、资料真实有效</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方案.docx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施工组织与实施方案</w:t>
            </w:r>
          </w:p>
        </w:tc>
        <w:tc>
          <w:tcPr>
            <w:tcW w:type="dxa" w:w="2492"/>
          </w:tcPr>
          <w:p>
            <w:pPr>
              <w:pStyle w:val="null3"/>
            </w:pPr>
            <w:r>
              <w:rPr>
                <w:rFonts w:ascii="仿宋_GB2312" w:hAnsi="仿宋_GB2312" w:cs="仿宋_GB2312" w:eastAsia="仿宋_GB2312"/>
              </w:rPr>
              <w:t>供应商针对本项目施工组织与实施方案内容，包含但不限于①广场改造专项施工方案②苗木移植与养护方案③ 护栏安装施工方案④工期保障与进度计划等，内容完整、详细、合理、可操作性强，符合项目要求。每项满分3分，缺项不得分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质量保障体系</w:t>
            </w:r>
          </w:p>
        </w:tc>
        <w:tc>
          <w:tcPr>
            <w:tcW w:type="dxa" w:w="2492"/>
          </w:tcPr>
          <w:p>
            <w:pPr>
              <w:pStyle w:val="null3"/>
            </w:pPr>
            <w:r>
              <w:rPr>
                <w:rFonts w:ascii="仿宋_GB2312" w:hAnsi="仿宋_GB2312" w:cs="仿宋_GB2312" w:eastAsia="仿宋_GB2312"/>
              </w:rPr>
              <w:t>供应商针对本项目质量保障体系内容，包含但不限于①质量目标与验收标准②苗木成活率保障措施③工程质量管控措施④缺陷整改与保修机制等，内容完整、详细、合理、可操作性强，符合项目要求。每项满分3分，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安全文明与环保措施</w:t>
            </w:r>
          </w:p>
        </w:tc>
        <w:tc>
          <w:tcPr>
            <w:tcW w:type="dxa" w:w="2492"/>
          </w:tcPr>
          <w:p>
            <w:pPr>
              <w:pStyle w:val="null3"/>
            </w:pPr>
            <w:r>
              <w:rPr>
                <w:rFonts w:ascii="仿宋_GB2312" w:hAnsi="仿宋_GB2312" w:cs="仿宋_GB2312" w:eastAsia="仿宋_GB2312"/>
              </w:rPr>
              <w:t>供应商针对本项目安全文明与环保措施内容，包含但不限于①安全生产责任体系②文明施工、扬尘降噪措施③广场设施保护措施④现场管理与成品保护等，内容完整、详细、合理、可操作性强，符合项目要求。每项满分3分，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施工进度计划及确保工期的技术措施</w:t>
            </w:r>
          </w:p>
        </w:tc>
        <w:tc>
          <w:tcPr>
            <w:tcW w:type="dxa" w:w="2492"/>
          </w:tcPr>
          <w:p>
            <w:pPr>
              <w:pStyle w:val="null3"/>
            </w:pPr>
            <w:r>
              <w:rPr>
                <w:rFonts w:ascii="仿宋_GB2312" w:hAnsi="仿宋_GB2312" w:cs="仿宋_GB2312" w:eastAsia="仿宋_GB2312"/>
              </w:rPr>
              <w:t>针对本项目施工进度计划及确保工期的技术措施，内容包括但不限于①施工进度计划②确保工期的技术措施③分阶段精细化施工进度计划编制评审标准：方案内容详细完整、针对性强、可行性高，符合项目实际要求。每项满分3分，缺项不得分，每项内容存在缺陷扣1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售后服务与养护承诺</w:t>
            </w:r>
          </w:p>
        </w:tc>
        <w:tc>
          <w:tcPr>
            <w:tcW w:type="dxa" w:w="2492"/>
          </w:tcPr>
          <w:p>
            <w:pPr>
              <w:pStyle w:val="null3"/>
            </w:pPr>
            <w:r>
              <w:rPr>
                <w:rFonts w:ascii="仿宋_GB2312" w:hAnsi="仿宋_GB2312" w:cs="仿宋_GB2312" w:eastAsia="仿宋_GB2312"/>
              </w:rPr>
              <w:t>供应商针对本项目售后服务与养护承诺内容，包含但不限于①服务期内绿化养护方案② 护栏质保与维修响应③应急处置与补植机制④竣工资料交付承诺等，内容完整、详细、合理、可操作性强，符合项目要求。每项满分3分，缺项不得分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垃圾清运方案</w:t>
            </w:r>
          </w:p>
        </w:tc>
        <w:tc>
          <w:tcPr>
            <w:tcW w:type="dxa" w:w="2492"/>
          </w:tcPr>
          <w:p>
            <w:pPr>
              <w:pStyle w:val="null3"/>
            </w:pPr>
            <w:r>
              <w:rPr>
                <w:rFonts w:ascii="仿宋_GB2312" w:hAnsi="仿宋_GB2312" w:cs="仿宋_GB2312" w:eastAsia="仿宋_GB2312"/>
              </w:rPr>
              <w:t>针对本项目垃圾清运方案，内容包括但不限于①清运管控与环境防护措施②垃圾清运方案 评审标准：方案内容详细完整、针对性强、可行性高，符合项目实际要求。每项满分2分，缺项不得分，每项内容存在缺陷扣1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提供近3年至今（以合同签订时间为准）的类似项目业绩，每提供一份计3分，满分 9分。业绩证明材料需要提供合同复印件或扫描件并加盖公章。</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满足招标文件要求的最低报价为评标基准价，得分 = 30×(基准价 / 投标报价)，保留 2 位小数。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详见附件：合同(1).docx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