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版本号：SXLZ-2026-11620260417001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三原县陵前镇肖西村道、魏迴村道、新安村道维修工程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SXLZ-2026-116</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三原县陵前镇肖西村道、魏迴村道、新安村道维修工程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SXLZ-2026-116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三原县陵前镇肖西村道、魏迴村道、新安村道维修工程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现拟实施三原县陵前镇肖西村道、魏迴村道、新安村道维修工程，总规模1.690公里(其中肖西村道0.290公里、魏迥村道1.170公里、新安村道0.230公里),主要实施三原县陵前镇肖西村道、魏迴村道、新安村道维修工程，对现状损坏路面进行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采购包1（三原县陵前镇肖西村道、魏迴村道、新安村道维修工程）：属于专门面向中小企业采购。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2、资质要求：具备公路工程总承包三级（含三级）及以上资质或公路路面工程专业承包三级（含三级）及以上资质，具备有效的安全生产许可证。</w:t>
      </w:r>
    </w:p>
    <w:p>
      <w:pPr>
        <w:pStyle w:val="null3"/>
      </w:pPr>
      <w:r>
        <w:rPr>
          <w:rFonts w:ascii="仿宋_GB2312" w:hAnsi="仿宋_GB2312" w:cs="仿宋_GB2312" w:eastAsia="仿宋_GB2312"/>
        </w:rPr>
        <w:t>3、拟派项目负责人资质：具备公路工程专业二级及以上注册建造师执业资格，并具备相应有效的安全生产考核合格证书，须在本单位注册，且未担任其他在建工程项目的项目经理（提供项目经理无在建工程承诺书）</w:t>
      </w:r>
    </w:p>
    <w:p>
      <w:pPr>
        <w:pStyle w:val="null3"/>
      </w:pPr>
      <w:r>
        <w:rPr>
          <w:rFonts w:ascii="仿宋_GB2312" w:hAnsi="仿宋_GB2312" w:cs="仿宋_GB2312" w:eastAsia="仿宋_GB2312"/>
        </w:rPr>
        <w:t>4、财务状况报告：提供经具有审计资质单位出具的2024年度或2025年度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9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6、社会保障资金缴纳证明：提供2025年9月以来任意一个月的社会保障资金缴存单据或社保机构开具的社会保险参保缴费情况证明。依法不需要缴纳社会保障资金的供应商应提供相关文件证明。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7、设备和专业技术能力：具有履行合同所必需的设备和专业技术能力的书面声明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计费基数，参照《国家计委关于印发&lt;招标代理服务收费管理暂行办法&gt;的通知》（计价格[2002]1980号）和国家发改委办公厅颁发的《关于招标代理服务收费有关问题的通知》（发改办价格【2003】857号）的标准执行。领取中标通知书前，由中标供应商向代理机构缴纳代理服务费，一次性付清。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958,800.00</w:t>
      </w:r>
    </w:p>
    <w:p>
      <w:pPr>
        <w:pStyle w:val="null3"/>
      </w:pPr>
      <w:r>
        <w:rPr>
          <w:rFonts w:ascii="仿宋_GB2312" w:hAnsi="仿宋_GB2312" w:cs="仿宋_GB2312" w:eastAsia="仿宋_GB2312"/>
        </w:rPr>
        <w:t>采购包最高限价（元）: 958,800.00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958,800.00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sz w:val="18"/>
                <w:b/>
                <w:color w:val="000000"/>
              </w:rPr>
              <w:t>一、项目概况</w:t>
            </w:r>
          </w:p>
          <w:p>
            <w:pPr>
              <w:pStyle w:val="null3"/>
              <w:ind w:firstLine="636"/>
              <w:jc w:val="both"/>
            </w:pPr>
            <w:r>
              <w:rPr>
                <w:rFonts w:ascii="仿宋_GB2312" w:hAnsi="仿宋_GB2312" w:cs="仿宋_GB2312" w:eastAsia="仿宋_GB2312"/>
                <w:sz w:val="18"/>
                <w:color w:val="000000"/>
              </w:rPr>
              <w:t>为确保我县农村公路安全畅通，我站现拟实施三原县陵</w:t>
            </w:r>
            <w:r>
              <w:rPr>
                <w:rFonts w:ascii="仿宋_GB2312" w:hAnsi="仿宋_GB2312" w:cs="仿宋_GB2312" w:eastAsia="仿宋_GB2312"/>
                <w:sz w:val="18"/>
                <w:color w:val="000000"/>
              </w:rPr>
              <w:t>前镇肖西村道、魏迴村道、新安村道维修工</w:t>
            </w:r>
            <w:r>
              <w:rPr>
                <w:rFonts w:ascii="仿宋_GB2312" w:hAnsi="仿宋_GB2312" w:cs="仿宋_GB2312" w:eastAsia="仿宋_GB2312"/>
                <w:sz w:val="18"/>
                <w:color w:val="000000"/>
              </w:rPr>
              <w:t>程，总规模</w:t>
            </w:r>
            <w:r>
              <w:rPr>
                <w:rFonts w:ascii="仿宋_GB2312" w:hAnsi="仿宋_GB2312" w:cs="仿宋_GB2312" w:eastAsia="仿宋_GB2312"/>
                <w:sz w:val="18"/>
                <w:color w:val="000000"/>
              </w:rPr>
              <w:t>1.690</w:t>
            </w:r>
            <w:r>
              <w:rPr>
                <w:rFonts w:ascii="仿宋_GB2312" w:hAnsi="仿宋_GB2312" w:cs="仿宋_GB2312" w:eastAsia="仿宋_GB2312"/>
                <w:sz w:val="18"/>
                <w:color w:val="000000"/>
              </w:rPr>
              <w:t>公里</w:t>
            </w:r>
            <w:r>
              <w:rPr>
                <w:rFonts w:ascii="仿宋_GB2312" w:hAnsi="仿宋_GB2312" w:cs="仿宋_GB2312" w:eastAsia="仿宋_GB2312"/>
                <w:sz w:val="18"/>
                <w:color w:val="000000"/>
              </w:rPr>
              <w:t>(其中肖西村道0.290公里、魏迥村道1.170公里、新安村道0.230公里),主要实施三原县陵前镇肖西村道、魏</w:t>
            </w:r>
            <w:r>
              <w:rPr>
                <w:rFonts w:ascii="仿宋_GB2312" w:hAnsi="仿宋_GB2312" w:cs="仿宋_GB2312" w:eastAsia="仿宋_GB2312"/>
                <w:sz w:val="18"/>
                <w:color w:val="000000"/>
              </w:rPr>
              <w:t>迴村道、新安村道维修工程，对现状损坏路面进行修复，旧</w:t>
            </w:r>
            <w:r>
              <w:rPr>
                <w:rFonts w:ascii="仿宋_GB2312" w:hAnsi="仿宋_GB2312" w:cs="仿宋_GB2312" w:eastAsia="仿宋_GB2312"/>
                <w:sz w:val="18"/>
                <w:color w:val="000000"/>
              </w:rPr>
              <w:t>水泥路面病害换板修复后铺筑</w:t>
            </w:r>
            <w:r>
              <w:rPr>
                <w:rFonts w:ascii="仿宋_GB2312" w:hAnsi="仿宋_GB2312" w:cs="仿宋_GB2312" w:eastAsia="仿宋_GB2312"/>
                <w:sz w:val="18"/>
                <w:color w:val="000000"/>
              </w:rPr>
              <w:t>5</w:t>
            </w:r>
            <w:r>
              <w:rPr>
                <w:rFonts w:ascii="仿宋_GB2312" w:hAnsi="仿宋_GB2312" w:cs="仿宋_GB2312" w:eastAsia="仿宋_GB2312"/>
                <w:sz w:val="18"/>
                <w:color w:val="000000"/>
              </w:rPr>
              <w:t>cm</w:t>
            </w:r>
            <w:r>
              <w:rPr>
                <w:rFonts w:ascii="仿宋_GB2312" w:hAnsi="仿宋_GB2312" w:cs="仿宋_GB2312" w:eastAsia="仿宋_GB2312"/>
                <w:sz w:val="18"/>
                <w:color w:val="000000"/>
              </w:rPr>
              <w:t>中粒式沥青混凝土路面</w:t>
            </w:r>
            <w:r>
              <w:rPr>
                <w:rFonts w:ascii="仿宋_GB2312" w:hAnsi="仿宋_GB2312" w:cs="仿宋_GB2312" w:eastAsia="仿宋_GB2312"/>
                <w:sz w:val="18"/>
                <w:color w:val="000000"/>
              </w:rPr>
              <w:t>。</w:t>
            </w:r>
          </w:p>
          <w:p>
            <w:pPr>
              <w:pStyle w:val="null3"/>
              <w:ind w:firstLine="644"/>
              <w:jc w:val="left"/>
            </w:pPr>
            <w:r>
              <w:rPr>
                <w:rFonts w:ascii="仿宋_GB2312" w:hAnsi="仿宋_GB2312" w:cs="仿宋_GB2312" w:eastAsia="仿宋_GB2312"/>
                <w:sz w:val="18"/>
                <w:color w:val="000000"/>
              </w:rPr>
              <w:t>二、工作内容</w:t>
            </w:r>
          </w:p>
          <w:p>
            <w:pPr>
              <w:pStyle w:val="null3"/>
              <w:ind w:firstLine="632"/>
              <w:jc w:val="both"/>
            </w:pPr>
            <w:r>
              <w:rPr>
                <w:rFonts w:ascii="仿宋_GB2312" w:hAnsi="仿宋_GB2312" w:cs="仿宋_GB2312" w:eastAsia="仿宋_GB2312"/>
                <w:sz w:val="18"/>
                <w:color w:val="000000"/>
              </w:rPr>
              <w:t>5cmAC-16</w:t>
            </w:r>
            <w:r>
              <w:rPr>
                <w:rFonts w:ascii="仿宋_GB2312" w:hAnsi="仿宋_GB2312" w:cs="仿宋_GB2312" w:eastAsia="仿宋_GB2312"/>
                <w:sz w:val="18"/>
                <w:color w:val="000000"/>
              </w:rPr>
              <w:t>沥青混凝土面层</w:t>
            </w:r>
            <w:r>
              <w:rPr>
                <w:rFonts w:ascii="仿宋_GB2312" w:hAnsi="仿宋_GB2312" w:cs="仿宋_GB2312" w:eastAsia="仿宋_GB2312"/>
                <w:sz w:val="18"/>
                <w:color w:val="000000"/>
              </w:rPr>
              <w:t>7064.80</w:t>
            </w:r>
            <w:r>
              <w:rPr>
                <w:rFonts w:ascii="仿宋_GB2312" w:hAnsi="仿宋_GB2312" w:cs="仿宋_GB2312" w:eastAsia="仿宋_GB2312"/>
                <w:sz w:val="18"/>
                <w:color w:val="000000"/>
              </w:rPr>
              <w:t>m²,</w:t>
            </w:r>
            <w:r>
              <w:rPr>
                <w:rFonts w:ascii="仿宋_GB2312" w:hAnsi="仿宋_GB2312" w:cs="仿宋_GB2312" w:eastAsia="仿宋_GB2312"/>
                <w:sz w:val="18"/>
                <w:color w:val="000000"/>
              </w:rPr>
              <w:t>同步碎石封层</w:t>
            </w:r>
            <w:r>
              <w:rPr>
                <w:rFonts w:ascii="仿宋_GB2312" w:hAnsi="仿宋_GB2312" w:cs="仿宋_GB2312" w:eastAsia="仿宋_GB2312"/>
                <w:sz w:val="18"/>
                <w:color w:val="000000"/>
              </w:rPr>
              <w:t>7064.80m²,</w:t>
            </w:r>
            <w:r>
              <w:rPr>
                <w:rFonts w:ascii="仿宋_GB2312" w:hAnsi="仿宋_GB2312" w:cs="仿宋_GB2312" w:eastAsia="仿宋_GB2312"/>
                <w:sz w:val="18"/>
                <w:color w:val="000000"/>
              </w:rPr>
              <w:t>玻纤格栅</w:t>
            </w:r>
            <w:r>
              <w:rPr>
                <w:rFonts w:ascii="仿宋_GB2312" w:hAnsi="仿宋_GB2312" w:cs="仿宋_GB2312" w:eastAsia="仿宋_GB2312"/>
                <w:sz w:val="18"/>
                <w:color w:val="000000"/>
              </w:rPr>
              <w:t>7064.80</w:t>
            </w:r>
            <w:r>
              <w:rPr>
                <w:rFonts w:ascii="仿宋_GB2312" w:hAnsi="仿宋_GB2312" w:cs="仿宋_GB2312" w:eastAsia="仿宋_GB2312"/>
                <w:sz w:val="18"/>
                <w:color w:val="000000"/>
              </w:rPr>
              <w:t>m</w:t>
            </w:r>
            <w:r>
              <w:rPr>
                <w:rFonts w:ascii="仿宋_GB2312" w:hAnsi="仿宋_GB2312" w:cs="仿宋_GB2312" w:eastAsia="仿宋_GB2312"/>
                <w:sz w:val="18"/>
                <w:color w:val="000000"/>
              </w:rPr>
              <w:t>²,</w:t>
            </w:r>
            <w:r>
              <w:rPr>
                <w:rFonts w:ascii="仿宋_GB2312" w:hAnsi="仿宋_GB2312" w:cs="仿宋_GB2312" w:eastAsia="仿宋_GB2312"/>
                <w:sz w:val="18"/>
                <w:color w:val="000000"/>
              </w:rPr>
              <w:t>旧水泥路面拉毛</w:t>
            </w:r>
            <w:r>
              <w:rPr>
                <w:rFonts w:ascii="仿宋_GB2312" w:hAnsi="仿宋_GB2312" w:cs="仿宋_GB2312" w:eastAsia="仿宋_GB2312"/>
                <w:sz w:val="18"/>
                <w:color w:val="000000"/>
              </w:rPr>
              <w:t>7064.80</w:t>
            </w:r>
            <w:r>
              <w:rPr>
                <w:rFonts w:ascii="仿宋_GB2312" w:hAnsi="仿宋_GB2312" w:cs="仿宋_GB2312" w:eastAsia="仿宋_GB2312"/>
                <w:sz w:val="18"/>
                <w:color w:val="000000"/>
              </w:rPr>
              <w:t>m²,</w:t>
            </w:r>
            <w:r>
              <w:rPr>
                <w:rFonts w:ascii="仿宋_GB2312" w:hAnsi="仿宋_GB2312" w:cs="仿宋_GB2312" w:eastAsia="仿宋_GB2312"/>
                <w:sz w:val="18"/>
                <w:color w:val="000000"/>
              </w:rPr>
              <w:t>33</w:t>
            </w:r>
            <w:r>
              <w:rPr>
                <w:rFonts w:ascii="仿宋_GB2312" w:hAnsi="仿宋_GB2312" w:cs="仿宋_GB2312" w:eastAsia="仿宋_GB2312"/>
                <w:sz w:val="18"/>
                <w:color w:val="000000"/>
              </w:rPr>
              <w:t>cm</w:t>
            </w:r>
            <w:r>
              <w:rPr>
                <w:rFonts w:ascii="仿宋_GB2312" w:hAnsi="仿宋_GB2312" w:cs="仿宋_GB2312" w:eastAsia="仿宋_GB2312"/>
                <w:sz w:val="18"/>
                <w:color w:val="000000"/>
              </w:rPr>
              <w:t>宽抗裂贴</w:t>
            </w:r>
            <w:r>
              <w:rPr>
                <w:rFonts w:ascii="仿宋_GB2312" w:hAnsi="仿宋_GB2312" w:cs="仿宋_GB2312" w:eastAsia="仿宋_GB2312"/>
                <w:sz w:val="18"/>
                <w:color w:val="000000"/>
              </w:rPr>
              <w:t>2528.00</w:t>
            </w:r>
            <w:r>
              <w:rPr>
                <w:rFonts w:ascii="仿宋_GB2312" w:hAnsi="仿宋_GB2312" w:cs="仿宋_GB2312" w:eastAsia="仿宋_GB2312"/>
                <w:sz w:val="18"/>
                <w:color w:val="000000"/>
              </w:rPr>
              <w:t>m,</w:t>
            </w:r>
            <w:r>
              <w:rPr>
                <w:rFonts w:ascii="仿宋_GB2312" w:hAnsi="仿宋_GB2312" w:cs="仿宋_GB2312" w:eastAsia="仿宋_GB2312"/>
                <w:sz w:val="18"/>
                <w:color w:val="000000"/>
              </w:rPr>
              <w:t>清缝及灌缝</w:t>
            </w:r>
            <w:r>
              <w:rPr>
                <w:rFonts w:ascii="仿宋_GB2312" w:hAnsi="仿宋_GB2312" w:cs="仿宋_GB2312" w:eastAsia="仿宋_GB2312"/>
                <w:sz w:val="18"/>
                <w:color w:val="000000"/>
              </w:rPr>
              <w:t>2528.00</w:t>
            </w:r>
            <w:r>
              <w:rPr>
                <w:rFonts w:ascii="仿宋_GB2312" w:hAnsi="仿宋_GB2312" w:cs="仿宋_GB2312" w:eastAsia="仿宋_GB2312"/>
                <w:sz w:val="18"/>
                <w:color w:val="000000"/>
              </w:rPr>
              <w:t>m,</w:t>
            </w:r>
            <w:r>
              <w:rPr>
                <w:rFonts w:ascii="仿宋_GB2312" w:hAnsi="仿宋_GB2312" w:cs="仿宋_GB2312" w:eastAsia="仿宋_GB2312"/>
                <w:sz w:val="18"/>
                <w:color w:val="000000"/>
              </w:rPr>
              <w:t>铣刨</w:t>
            </w:r>
            <w:r>
              <w:rPr>
                <w:rFonts w:ascii="仿宋_GB2312" w:hAnsi="仿宋_GB2312" w:cs="仿宋_GB2312" w:eastAsia="仿宋_GB2312"/>
                <w:sz w:val="18"/>
                <w:color w:val="000000"/>
              </w:rPr>
              <w:t>5</w:t>
            </w:r>
            <w:r>
              <w:rPr>
                <w:rFonts w:ascii="仿宋_GB2312" w:hAnsi="仿宋_GB2312" w:cs="仿宋_GB2312" w:eastAsia="仿宋_GB2312"/>
                <w:sz w:val="18"/>
                <w:color w:val="000000"/>
              </w:rPr>
              <w:t>cm</w:t>
            </w:r>
            <w:r>
              <w:rPr>
                <w:rFonts w:ascii="仿宋_GB2312" w:hAnsi="仿宋_GB2312" w:cs="仿宋_GB2312" w:eastAsia="仿宋_GB2312"/>
                <w:sz w:val="18"/>
                <w:color w:val="000000"/>
              </w:rPr>
              <w:t>旧沥青路面</w:t>
            </w:r>
            <w:r>
              <w:rPr>
                <w:rFonts w:ascii="仿宋_GB2312" w:hAnsi="仿宋_GB2312" w:cs="仿宋_GB2312" w:eastAsia="仿宋_GB2312"/>
                <w:sz w:val="18"/>
                <w:color w:val="000000"/>
              </w:rPr>
              <w:t>920.00</w:t>
            </w:r>
            <w:r>
              <w:rPr>
                <w:rFonts w:ascii="仿宋_GB2312" w:hAnsi="仿宋_GB2312" w:cs="仿宋_GB2312" w:eastAsia="仿宋_GB2312"/>
                <w:sz w:val="18"/>
                <w:color w:val="000000"/>
              </w:rPr>
              <w:t>m²,18cmC30</w:t>
            </w:r>
            <w:r>
              <w:rPr>
                <w:rFonts w:ascii="仿宋_GB2312" w:hAnsi="仿宋_GB2312" w:cs="仿宋_GB2312" w:eastAsia="仿宋_GB2312"/>
                <w:sz w:val="18"/>
                <w:color w:val="000000"/>
              </w:rPr>
              <w:t>水泥混凝土</w:t>
            </w:r>
            <w:r>
              <w:rPr>
                <w:rFonts w:ascii="仿宋_GB2312" w:hAnsi="仿宋_GB2312" w:cs="仿宋_GB2312" w:eastAsia="仿宋_GB2312"/>
                <w:sz w:val="18"/>
                <w:color w:val="000000"/>
              </w:rPr>
              <w:t>(换</w:t>
            </w:r>
            <w:r>
              <w:rPr>
                <w:rFonts w:ascii="仿宋_GB2312" w:hAnsi="仿宋_GB2312" w:cs="仿宋_GB2312" w:eastAsia="仿宋_GB2312"/>
                <w:sz w:val="18"/>
                <w:color w:val="000000"/>
              </w:rPr>
              <w:t>板</w:t>
            </w:r>
            <w:r>
              <w:rPr>
                <w:rFonts w:ascii="仿宋_GB2312" w:hAnsi="仿宋_GB2312" w:cs="仿宋_GB2312" w:eastAsia="仿宋_GB2312"/>
                <w:sz w:val="18"/>
                <w:color w:val="000000"/>
              </w:rPr>
              <w:t>)1082.00</w:t>
            </w:r>
            <w:r>
              <w:rPr>
                <w:rFonts w:ascii="仿宋_GB2312" w:hAnsi="仿宋_GB2312" w:cs="仿宋_GB2312" w:eastAsia="仿宋_GB2312"/>
                <w:sz w:val="18"/>
                <w:color w:val="000000"/>
              </w:rPr>
              <w:t>m²,</w:t>
            </w:r>
            <w:r>
              <w:rPr>
                <w:rFonts w:ascii="仿宋_GB2312" w:hAnsi="仿宋_GB2312" w:cs="仿宋_GB2312" w:eastAsia="仿宋_GB2312"/>
                <w:sz w:val="18"/>
                <w:color w:val="000000"/>
              </w:rPr>
              <w:t>20</w:t>
            </w:r>
            <w:r>
              <w:rPr>
                <w:rFonts w:ascii="仿宋_GB2312" w:hAnsi="仿宋_GB2312" w:cs="仿宋_GB2312" w:eastAsia="仿宋_GB2312"/>
                <w:sz w:val="18"/>
                <w:color w:val="000000"/>
              </w:rPr>
              <w:t>cm</w:t>
            </w:r>
            <w:r>
              <w:rPr>
                <w:rFonts w:ascii="仿宋_GB2312" w:hAnsi="仿宋_GB2312" w:cs="仿宋_GB2312" w:eastAsia="仿宋_GB2312"/>
                <w:sz w:val="18"/>
                <w:color w:val="000000"/>
              </w:rPr>
              <w:t>5%</w:t>
            </w:r>
            <w:r>
              <w:rPr>
                <w:rFonts w:ascii="仿宋_GB2312" w:hAnsi="仿宋_GB2312" w:cs="仿宋_GB2312" w:eastAsia="仿宋_GB2312"/>
                <w:sz w:val="18"/>
                <w:color w:val="000000"/>
              </w:rPr>
              <w:t>水泥稳定土基层</w:t>
            </w:r>
            <w:r>
              <w:rPr>
                <w:rFonts w:ascii="仿宋_GB2312" w:hAnsi="仿宋_GB2312" w:cs="仿宋_GB2312" w:eastAsia="仿宋_GB2312"/>
                <w:sz w:val="18"/>
                <w:color w:val="000000"/>
              </w:rPr>
              <w:t>(换板)1082.00</w:t>
            </w:r>
            <w:r>
              <w:rPr>
                <w:rFonts w:ascii="仿宋_GB2312" w:hAnsi="仿宋_GB2312" w:cs="仿宋_GB2312" w:eastAsia="仿宋_GB2312"/>
                <w:sz w:val="18"/>
                <w:color w:val="000000"/>
              </w:rPr>
              <w:t>m²,</w:t>
            </w:r>
            <w:r>
              <w:rPr>
                <w:rFonts w:ascii="仿宋_GB2312" w:hAnsi="仿宋_GB2312" w:cs="仿宋_GB2312" w:eastAsia="仿宋_GB2312"/>
                <w:sz w:val="18"/>
                <w:color w:val="000000"/>
              </w:rPr>
              <w:t>凿除旧面板</w:t>
            </w:r>
            <w:r>
              <w:rPr>
                <w:rFonts w:ascii="仿宋_GB2312" w:hAnsi="仿宋_GB2312" w:cs="仿宋_GB2312" w:eastAsia="仿宋_GB2312"/>
                <w:sz w:val="18"/>
                <w:color w:val="000000"/>
              </w:rPr>
              <w:t>194.76m³,清运旧面板194.76m³,挖除基层216.40m³,清</w:t>
            </w:r>
            <w:r>
              <w:rPr>
                <w:rFonts w:ascii="仿宋_GB2312" w:hAnsi="仿宋_GB2312" w:cs="仿宋_GB2312" w:eastAsia="仿宋_GB2312"/>
                <w:sz w:val="18"/>
                <w:color w:val="000000"/>
              </w:rPr>
              <w:t>运基层</w:t>
            </w:r>
            <w:r>
              <w:rPr>
                <w:rFonts w:ascii="仿宋_GB2312" w:hAnsi="仿宋_GB2312" w:cs="仿宋_GB2312" w:eastAsia="仿宋_GB2312"/>
                <w:sz w:val="18"/>
                <w:color w:val="000000"/>
              </w:rPr>
              <w:t>216.40</w:t>
            </w:r>
            <w:r>
              <w:rPr>
                <w:rFonts w:ascii="仿宋_GB2312" w:hAnsi="仿宋_GB2312" w:cs="仿宋_GB2312" w:eastAsia="仿宋_GB2312"/>
                <w:sz w:val="18"/>
                <w:color w:val="000000"/>
              </w:rPr>
              <w:t>m³</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三、商务要求</w:t>
            </w:r>
          </w:p>
          <w:p>
            <w:pPr>
              <w:pStyle w:val="null3"/>
              <w:ind w:firstLine="656"/>
              <w:jc w:val="both"/>
            </w:pPr>
            <w:r>
              <w:rPr>
                <w:rFonts w:ascii="仿宋_GB2312" w:hAnsi="仿宋_GB2312" w:cs="仿宋_GB2312" w:eastAsia="仿宋_GB2312"/>
                <w:sz w:val="18"/>
                <w:color w:val="000000"/>
              </w:rPr>
              <w:t>1.工期要求：60日历天</w:t>
            </w:r>
          </w:p>
          <w:p>
            <w:pPr>
              <w:pStyle w:val="null3"/>
              <w:ind w:firstLine="608"/>
              <w:jc w:val="both"/>
            </w:pPr>
            <w:r>
              <w:rPr>
                <w:rFonts w:ascii="仿宋_GB2312" w:hAnsi="仿宋_GB2312" w:cs="仿宋_GB2312" w:eastAsia="仿宋_GB2312"/>
                <w:sz w:val="18"/>
                <w:color w:val="000000"/>
              </w:rPr>
              <w:t>2.质量要求：合格(符合国家、行业的标准和有关规定)。</w:t>
            </w:r>
          </w:p>
          <w:p>
            <w:pPr>
              <w:pStyle w:val="null3"/>
              <w:ind w:firstLine="664"/>
              <w:jc w:val="both"/>
            </w:pPr>
            <w:r>
              <w:rPr>
                <w:rFonts w:ascii="仿宋_GB2312" w:hAnsi="仿宋_GB2312" w:cs="仿宋_GB2312" w:eastAsia="仿宋_GB2312"/>
                <w:sz w:val="18"/>
                <w:color w:val="000000"/>
              </w:rPr>
              <w:t>3.质保要求：保修期为2年，保修期间乙方应在接到甲</w:t>
            </w:r>
            <w:r>
              <w:rPr>
                <w:rFonts w:ascii="仿宋_GB2312" w:hAnsi="仿宋_GB2312" w:cs="仿宋_GB2312" w:eastAsia="仿宋_GB2312"/>
                <w:sz w:val="18"/>
                <w:color w:val="000000"/>
              </w:rPr>
              <w:t>方维修通知</w:t>
            </w:r>
            <w:r>
              <w:rPr>
                <w:rFonts w:ascii="仿宋_GB2312" w:hAnsi="仿宋_GB2312" w:cs="仿宋_GB2312" w:eastAsia="仿宋_GB2312"/>
                <w:sz w:val="18"/>
                <w:color w:val="000000"/>
              </w:rPr>
              <w:t>2日后10日内派人维修，否则甲</w:t>
            </w:r>
            <w:r>
              <w:rPr>
                <w:rFonts w:ascii="仿宋_GB2312" w:hAnsi="仿宋_GB2312" w:cs="仿宋_GB2312" w:eastAsia="仿宋_GB2312"/>
                <w:sz w:val="18"/>
                <w:color w:val="000000"/>
              </w:rPr>
              <w:t>方可委托其它</w:t>
            </w:r>
            <w:r>
              <w:rPr>
                <w:rFonts w:ascii="仿宋_GB2312" w:hAnsi="仿宋_GB2312" w:cs="仿宋_GB2312" w:eastAsia="仿宋_GB2312"/>
                <w:sz w:val="18"/>
                <w:color w:val="000000"/>
              </w:rPr>
              <w:t>单位或人员维修，因乙方原因造成的返修费用，由乙方承担。</w:t>
            </w:r>
            <w:r>
              <w:rPr>
                <w:rFonts w:ascii="仿宋_GB2312" w:hAnsi="仿宋_GB2312" w:cs="仿宋_GB2312" w:eastAsia="仿宋_GB2312"/>
                <w:sz w:val="18"/>
                <w:color w:val="000000"/>
              </w:rPr>
              <w:t>因乙方之外原因返修的经济支出由甲方承担。</w:t>
            </w:r>
          </w:p>
          <w:p>
            <w:pPr>
              <w:pStyle w:val="null3"/>
              <w:ind w:firstLine="652"/>
              <w:jc w:val="left"/>
            </w:pPr>
            <w:r>
              <w:rPr>
                <w:rFonts w:ascii="仿宋_GB2312" w:hAnsi="仿宋_GB2312" w:cs="仿宋_GB2312" w:eastAsia="仿宋_GB2312"/>
                <w:sz w:val="18"/>
                <w:color w:val="000000"/>
              </w:rPr>
              <w:t>4.进度要求：乙方需编制并向甲方提交总体工程进度计划，确保各阶段施工进度满足总体进度要求，同时提供主要</w:t>
            </w:r>
            <w:r>
              <w:rPr>
                <w:rFonts w:ascii="仿宋_GB2312" w:hAnsi="仿宋_GB2312" w:cs="仿宋_GB2312" w:eastAsia="仿宋_GB2312"/>
                <w:sz w:val="18"/>
                <w:color w:val="000000"/>
              </w:rPr>
              <w:t>参与人员名单，并保证人员稳定性。</w:t>
            </w:r>
          </w:p>
          <w:p>
            <w:pPr>
              <w:pStyle w:val="null3"/>
              <w:ind w:firstLine="616"/>
              <w:jc w:val="left"/>
            </w:pPr>
            <w:r>
              <w:rPr>
                <w:rFonts w:ascii="仿宋_GB2312" w:hAnsi="仿宋_GB2312" w:cs="仿宋_GB2312" w:eastAsia="仿宋_GB2312"/>
                <w:sz w:val="18"/>
                <w:color w:val="000000"/>
              </w:rPr>
              <w:t>5.安全要求：</w:t>
            </w:r>
          </w:p>
          <w:p>
            <w:pPr>
              <w:pStyle w:val="null3"/>
              <w:ind w:firstLine="652"/>
              <w:jc w:val="left"/>
            </w:pPr>
            <w:r>
              <w:rPr>
                <w:rFonts w:ascii="仿宋_GB2312" w:hAnsi="仿宋_GB2312" w:cs="仿宋_GB2312" w:eastAsia="仿宋_GB2312"/>
                <w:sz w:val="18"/>
                <w:color w:val="000000"/>
              </w:rPr>
              <w:t>合同执行过程中，乙方应对自身安全负责，要遵守国家</w:t>
            </w:r>
            <w:r>
              <w:rPr>
                <w:rFonts w:ascii="仿宋_GB2312" w:hAnsi="仿宋_GB2312" w:cs="仿宋_GB2312" w:eastAsia="仿宋_GB2312"/>
                <w:sz w:val="18"/>
                <w:color w:val="000000"/>
              </w:rPr>
              <w:t>的相关安全规定。</w:t>
            </w:r>
          </w:p>
          <w:p>
            <w:pPr>
              <w:pStyle w:val="null3"/>
              <w:ind w:firstLine="572"/>
              <w:jc w:val="left"/>
            </w:pPr>
            <w:r>
              <w:rPr>
                <w:rFonts w:ascii="仿宋_GB2312" w:hAnsi="仿宋_GB2312" w:cs="仿宋_GB2312" w:eastAsia="仿宋_GB2312"/>
                <w:sz w:val="18"/>
                <w:color w:val="000000"/>
              </w:rPr>
              <w:t>四、合同支付</w:t>
            </w:r>
          </w:p>
          <w:p>
            <w:pPr>
              <w:pStyle w:val="null3"/>
              <w:ind w:firstLine="652"/>
              <w:jc w:val="both"/>
            </w:pPr>
            <w:r>
              <w:rPr>
                <w:rFonts w:ascii="仿宋_GB2312" w:hAnsi="仿宋_GB2312" w:cs="仿宋_GB2312" w:eastAsia="仿宋_GB2312"/>
                <w:sz w:val="18"/>
                <w:color w:val="000000"/>
              </w:rPr>
              <w:t>按照合同约定甲方向乙方及时拨付工程款项，项目按照计划工期完工后，经甲方组织验收并达到相关要求后，甲方</w:t>
            </w:r>
            <w:r>
              <w:rPr>
                <w:rFonts w:ascii="仿宋_GB2312" w:hAnsi="仿宋_GB2312" w:cs="仿宋_GB2312" w:eastAsia="仿宋_GB2312"/>
                <w:sz w:val="18"/>
                <w:color w:val="000000"/>
              </w:rPr>
              <w:t>向乙方支付核准后的所有工程款项。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具备公路工程总承包三级（含三级）及以上资质或公路路面工程专业承包三级（含三级）及以上资质，具备有效的安全生产许可证。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具备公路工程专业二级及以上注册建造师执业资格，并具备相应有效的安全生产考核合格证书，须在本单位注册，且未担任其他在建工程项目的项目经理（提供项目经理无在建工程承诺书）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年度或2025年度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采购需求偏离表.docx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提供针对本项目的施工方案，内容包括但不限于①施工准备：技术准备、材料准备、机械准备、机具准备、劳动力准备等。② 施工方法及工艺；③重难点及解决方案；④应急方案。以上内容专门针对本项目且阐述明晰、全面、合理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内容包括但不限于①质量目标管理体系；②施工质量的检验制度；③确保质量的技术组织措施；④施工质量控制措施。以上内容专门针对本项目且阐述明晰、全面、合理得8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提供针对本项目的工程进度计划与措施，内容包括但不限于①施工进度计划管理；②保证工程进度技术措施；③合理组织、科学管理工程项目施工等。以上内容专门针对本项目且阐述明晰、全面、合理得9分，每缺一项内容扣3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提供针对本项目的安全施工措施。内容包括但不限于①安全生产管理制度；②安全施工措施；③安全应急预案；④安全生产教育。以上内容专门针对本项目且阐述明晰、全面、合理得8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提供针对本项目的文明施工措施，内容包含但不限于①文明施工保证体系；②文明施工管理目标及技术措施；③文明施工现场管理（材料管理、防扰民措施）。以上内容专门针对本项目且阐述明晰、全面、合理得6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提供针对本项目的环境保护措施，内容包含但不限于①环境保护管理体系；②环保保护措施，包括污染物及废弃物处理的排放、噪音控制、防尘及扬尘的控制措施。以上内容专门针对本项目且阐述明晰、全面、合理得6分，每缺一项内容扣4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针对本项目组织机构，内容包含但不限于①管理机构的配备计划；②组织机构的岗位职责。以上内容专门针对本项目且阐述明晰、全面、合理得8分，每缺一项内容扣4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供应商2023年1月1日至今已完类似项目业绩，提供一个业绩得1分，满分3分。（以合同签订日期为准，证明材料为合同首页、双方签字盖章页以及能够反映合同内容的部分）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经初审合格的磋商响应文件，其磋商报价为有效磋商报价，并进行价格评审。满足磋商文件实质性要求且最终报价最低的供应商的价格为 磋商基准价，其价格分为满分30分。磋商报价得分=（磋商基准价/最 终磋商报价）×30的公式计算得分。 磋商报价不完整的，不进入评标 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