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版本号：ZTHZB-2026-11120260402001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三原县农产品质量安全例行监测项目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ZTHZB-2026-111</w:t>
      </w:r>
      <w:r>
        <w:br/>
      </w:r>
      <w:r>
        <w:br/>
      </w:r>
      <w:r>
        <w:br/>
      </w:r>
    </w:p>
    <w:p>
      <w:pPr>
        <w:pStyle w:val="null3"/>
        <w:jc w:val="center"/>
        <w:outlineLvl w:val="2"/>
      </w:pPr>
      <w:r>
        <w:rPr>
          <w:rFonts w:ascii="仿宋_GB2312" w:hAnsi="仿宋_GB2312" w:cs="仿宋_GB2312" w:eastAsia="仿宋_GB2312"/>
          <w:sz w:val="28"/>
          <w:b/>
        </w:rPr>
        <w:t>农产品质量安全检验检测站</w:t>
      </w:r>
    </w:p>
    <w:p>
      <w:pPr>
        <w:pStyle w:val="null3"/>
        <w:jc w:val="center"/>
        <w:outlineLvl w:val="2"/>
      </w:pPr>
      <w:r>
        <w:rPr>
          <w:rFonts w:ascii="仿宋_GB2312" w:hAnsi="仿宋_GB2312" w:cs="仿宋_GB2312" w:eastAsia="仿宋_GB2312"/>
          <w:sz w:val="28"/>
          <w:b/>
        </w:rPr>
        <w:t>陕西中天禾招标项目管理有限公司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陕西中天禾招标项目管理有限公司</w:t>
      </w:r>
      <w:r>
        <w:rPr>
          <w:rFonts w:ascii="仿宋_GB2312" w:hAnsi="仿宋_GB2312" w:cs="仿宋_GB2312" w:eastAsia="仿宋_GB2312"/>
        </w:rPr>
        <w:t>（以下简称“代理机构”）受</w:t>
      </w:r>
      <w:r>
        <w:rPr>
          <w:rFonts w:ascii="仿宋_GB2312" w:hAnsi="仿宋_GB2312" w:cs="仿宋_GB2312" w:eastAsia="仿宋_GB2312"/>
        </w:rPr>
        <w:t>农产品质量安全检验检测站</w:t>
      </w:r>
      <w:r>
        <w:rPr>
          <w:rFonts w:ascii="仿宋_GB2312" w:hAnsi="仿宋_GB2312" w:cs="仿宋_GB2312" w:eastAsia="仿宋_GB2312"/>
        </w:rPr>
        <w:t>委托，拟对</w:t>
      </w:r>
      <w:r>
        <w:rPr>
          <w:rFonts w:ascii="仿宋_GB2312" w:hAnsi="仿宋_GB2312" w:cs="仿宋_GB2312" w:eastAsia="仿宋_GB2312"/>
        </w:rPr>
        <w:t>三原县农产品质量安全例行监测项目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ZTHZB-2026-111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三原县农产品质量安全例行监测项目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2026年三原县辖区范围内生产的蔬菜、食用菌、水果、畜禽产品、水产品等开展例行监测检测服务。其他具体内容，详见磋商文件。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采购包1（三原县农产品质量安全例行监测项目）：属于专门面向中小企业采购。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法定代表人授权委托书：法定代表人身份证明/法定代表人授权委托书：法定代表人资格证明书、法定代表人授权委托书，附法定代表人（或负责人）身份证复印件及被授权人身份证复印件； 注：法定代表人（或负责人）直接参加磋商只须提供法定代表人资格证明书及法定代表人（或负责人）身份证复印件；</w:t>
      </w:r>
    </w:p>
    <w:p>
      <w:pPr>
        <w:pStyle w:val="null3"/>
      </w:pPr>
      <w:r>
        <w:rPr>
          <w:rFonts w:ascii="仿宋_GB2312" w:hAnsi="仿宋_GB2312" w:cs="仿宋_GB2312" w:eastAsia="仿宋_GB2312"/>
        </w:rPr>
        <w:t>3、企业资质：供应商须提供检验检测机构资质认定证书CMA（证书附表要包含食品）和农产品质量安全检测机构考核合格证书CATL；</w:t>
      </w:r>
    </w:p>
    <w:p>
      <w:pPr>
        <w:pStyle w:val="null3"/>
      </w:pPr>
      <w:r>
        <w:rPr>
          <w:rFonts w:ascii="仿宋_GB2312" w:hAnsi="仿宋_GB2312" w:cs="仿宋_GB2312" w:eastAsia="仿宋_GB2312"/>
        </w:rPr>
        <w:t>4、控股关系及信用信息：单位负责人为同一人或者存在直接控股、管理关系的不同供应商，不得参加同一合同项下的政府采购活动；供应商不得被“信用中国”网站(http://www.creditchina.gov.cn)列入“重大税收违法失信主体”；不得被中国执行信息公开网(http://zxgk.court.gov.cn/shixin/)列入”失信被执行人”；不得被中国政府采购网(http://www.ccgp.gov.cn)列入“政府采购严重违法失信行为记录名单”；（提供书面声明，加盖供应商公章）</w:t>
      </w:r>
    </w:p>
    <w:p>
      <w:pPr>
        <w:pStyle w:val="null3"/>
      </w:pPr>
      <w:r>
        <w:rPr>
          <w:rFonts w:ascii="仿宋_GB2312" w:hAnsi="仿宋_GB2312" w:cs="仿宋_GB2312" w:eastAsia="仿宋_GB2312"/>
        </w:rPr>
        <w:t>5、非联合体声明：本项目不接受联合体磋商。（提供非联合体书面声明并加盖供应商公章）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农产品质量安全检验检测站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三原县幸福路中段农村产权交易中心院内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13220001417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陕西中天禾招标项目管理有限公司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陕西省西安市经开区尚稷路8989号西安服务外包产业园创新孵化中心B座2层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029-89150039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国家发展改革委关于降低部分建设项目收费标准规范收费行为等有关问题的通知》（发改价格[2011]534号）标准计取，不足6000元按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农产品质量安全检验检测站</w:t>
      </w:r>
      <w:r>
        <w:rPr>
          <w:rFonts w:ascii="仿宋_GB2312" w:hAnsi="仿宋_GB2312" w:cs="仿宋_GB2312" w:eastAsia="仿宋_GB2312"/>
        </w:rPr>
        <w:t>和</w:t>
      </w:r>
      <w:r>
        <w:rPr>
          <w:rFonts w:ascii="仿宋_GB2312" w:hAnsi="仿宋_GB2312" w:cs="仿宋_GB2312" w:eastAsia="仿宋_GB2312"/>
        </w:rPr>
        <w:t>陕西中天禾招标项目管理有限公司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农产品质量安全检验检测站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陕西中天禾招标项目管理有限公司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农产品质量安全检验检测站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陕西中天禾招标项目管理有限公司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达到服务质量验收合格标准，满足项目要求。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陕西中天禾招标项目管理有限公司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陕西中天禾招标项目管理有限公司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陕西中天禾招标项目管理有限公司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联系人：黄工</w:t>
      </w:r>
    </w:p>
    <w:p>
      <w:pPr>
        <w:pStyle w:val="null3"/>
      </w:pPr>
      <w:r>
        <w:rPr>
          <w:rFonts w:ascii="仿宋_GB2312" w:hAnsi="仿宋_GB2312" w:cs="仿宋_GB2312" w:eastAsia="仿宋_GB2312"/>
        </w:rPr>
        <w:t>联系电话：029-89150039</w:t>
      </w:r>
    </w:p>
    <w:p>
      <w:pPr>
        <w:pStyle w:val="null3"/>
      </w:pPr>
      <w:r>
        <w:rPr>
          <w:rFonts w:ascii="仿宋_GB2312" w:hAnsi="仿宋_GB2312" w:cs="仿宋_GB2312" w:eastAsia="仿宋_GB2312"/>
        </w:rPr>
        <w:t>地址： 陕西省西安市经开区尚稷路8989号西安服务外包产业园创新孵化中心B座2层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2026年三原县辖区范围内生产的蔬菜、食用菌、水果、畜禽产品、水产品等开展例行监测检测服务。其他具体内容，详见磋商文件。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三原县农产品质量安全例行监测项目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标的名称：三原县农产品质量安全例行监测项目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left"/>
            </w:pPr>
            <w:r>
              <w:rPr>
                <w:rFonts w:ascii="仿宋_GB2312" w:hAnsi="仿宋_GB2312" w:cs="仿宋_GB2312" w:eastAsia="仿宋_GB2312"/>
                <w:sz w:val="21"/>
                <w:color w:val="000000"/>
              </w:rPr>
              <w:t>本项目采购人为：三原县农产品质量安全检验检测站</w:t>
            </w:r>
          </w:p>
          <w:p>
            <w:pPr>
              <w:pStyle w:val="null3"/>
              <w:ind w:firstLine="420"/>
              <w:jc w:val="left"/>
            </w:pPr>
            <w:r>
              <w:rPr>
                <w:rFonts w:ascii="仿宋_GB2312" w:hAnsi="仿宋_GB2312" w:cs="仿宋_GB2312" w:eastAsia="仿宋_GB2312"/>
                <w:sz w:val="21"/>
                <w:color w:val="000000"/>
              </w:rPr>
              <w:t>根据《</w:t>
            </w:r>
            <w:r>
              <w:rPr>
                <w:rFonts w:ascii="仿宋_GB2312" w:hAnsi="仿宋_GB2312" w:cs="仿宋_GB2312" w:eastAsia="仿宋_GB2312"/>
                <w:sz w:val="21"/>
                <w:color w:val="000000"/>
              </w:rPr>
              <w:t>2026年咸阳市农产品质量安全风险监测方案</w:t>
            </w:r>
            <w:r>
              <w:rPr>
                <w:rFonts w:ascii="仿宋_GB2312" w:hAnsi="仿宋_GB2312" w:cs="仿宋_GB2312" w:eastAsia="仿宋_GB2312"/>
                <w:sz w:val="21"/>
                <w:color w:val="000000"/>
              </w:rPr>
              <w:t>》要求，对</w:t>
            </w:r>
            <w:r>
              <w:rPr>
                <w:rFonts w:ascii="仿宋_GB2312" w:hAnsi="仿宋_GB2312" w:cs="仿宋_GB2312" w:eastAsia="仿宋_GB2312"/>
                <w:sz w:val="21"/>
                <w:color w:val="000000"/>
              </w:rPr>
              <w:t>2026年三原县辖区范围内生产的蔬菜、食用菌、水果、畜禽产品、水产品等开展例行监测检测服务。全年不少于4次，根据辖区生产情况统筹安排实施，重点监测特色、小宗或县域重点产业品种，持续加大散户、小农户风险监测力度。</w:t>
            </w:r>
          </w:p>
          <w:p>
            <w:pPr>
              <w:pStyle w:val="null3"/>
              <w:ind w:firstLine="420"/>
              <w:jc w:val="left"/>
            </w:pPr>
            <w:r>
              <w:rPr>
                <w:rFonts w:ascii="仿宋_GB2312" w:hAnsi="仿宋_GB2312" w:cs="仿宋_GB2312" w:eastAsia="仿宋_GB2312"/>
                <w:sz w:val="21"/>
                <w:color w:val="000000"/>
              </w:rPr>
              <w:t>（一）种植业产品。</w:t>
            </w:r>
          </w:p>
          <w:p>
            <w:pPr>
              <w:pStyle w:val="null3"/>
              <w:ind w:firstLine="420"/>
              <w:jc w:val="left"/>
            </w:pPr>
            <w:r>
              <w:rPr>
                <w:rFonts w:ascii="仿宋_GB2312" w:hAnsi="仿宋_GB2312" w:cs="仿宋_GB2312" w:eastAsia="仿宋_GB2312"/>
                <w:sz w:val="21"/>
                <w:color w:val="000000"/>
              </w:rPr>
              <w:t>1.抽样方法。蔬菜、食用菌和水果抽样按《农药残留分析样本的采样方法》（NY/T789-2004）执行。</w:t>
            </w:r>
          </w:p>
          <w:p>
            <w:pPr>
              <w:pStyle w:val="null3"/>
              <w:ind w:firstLine="420"/>
              <w:jc w:val="left"/>
            </w:pPr>
            <w:r>
              <w:rPr>
                <w:rFonts w:ascii="仿宋_GB2312" w:hAnsi="仿宋_GB2312" w:cs="仿宋_GB2312" w:eastAsia="仿宋_GB2312"/>
                <w:sz w:val="21"/>
                <w:color w:val="000000"/>
              </w:rPr>
              <w:t>2.监测项目和检测方法（详见附件</w:t>
            </w:r>
            <w:r>
              <w:rPr>
                <w:rFonts w:ascii="仿宋_GB2312" w:hAnsi="仿宋_GB2312" w:cs="仿宋_GB2312" w:eastAsia="仿宋_GB2312"/>
                <w:sz w:val="21"/>
                <w:color w:val="000000"/>
              </w:rPr>
              <w:t>-监测参数和检测方法</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（二）畜禽产品。</w:t>
            </w:r>
          </w:p>
          <w:p>
            <w:pPr>
              <w:pStyle w:val="null3"/>
              <w:ind w:firstLine="420"/>
              <w:jc w:val="left"/>
            </w:pPr>
            <w:r>
              <w:rPr>
                <w:rFonts w:ascii="仿宋_GB2312" w:hAnsi="仿宋_GB2312" w:cs="仿宋_GB2312" w:eastAsia="仿宋_GB2312"/>
                <w:sz w:val="21"/>
                <w:color w:val="000000"/>
              </w:rPr>
              <w:t>1.抽样方法。按《动物及动物产品兽药残留监控抽样规范》（NY/T1897-2010）执行</w:t>
            </w:r>
          </w:p>
          <w:p>
            <w:pPr>
              <w:pStyle w:val="null3"/>
              <w:ind w:firstLine="420"/>
              <w:jc w:val="left"/>
            </w:pPr>
            <w:r>
              <w:rPr>
                <w:rFonts w:ascii="仿宋_GB2312" w:hAnsi="仿宋_GB2312" w:cs="仿宋_GB2312" w:eastAsia="仿宋_GB2312"/>
                <w:sz w:val="21"/>
                <w:color w:val="000000"/>
              </w:rPr>
              <w:t>2.监测项目和检测方法（详见附件</w:t>
            </w:r>
            <w:r>
              <w:rPr>
                <w:rFonts w:ascii="仿宋_GB2312" w:hAnsi="仿宋_GB2312" w:cs="仿宋_GB2312" w:eastAsia="仿宋_GB2312"/>
                <w:sz w:val="21"/>
                <w:color w:val="000000"/>
              </w:rPr>
              <w:t>-监测参数和检测方法</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（三）水产品。</w:t>
            </w:r>
          </w:p>
          <w:p>
            <w:pPr>
              <w:pStyle w:val="null3"/>
              <w:ind w:firstLine="420"/>
              <w:jc w:val="left"/>
            </w:pPr>
            <w:r>
              <w:rPr>
                <w:rFonts w:ascii="仿宋_GB2312" w:hAnsi="仿宋_GB2312" w:cs="仿宋_GB2312" w:eastAsia="仿宋_GB2312"/>
                <w:sz w:val="21"/>
                <w:color w:val="000000"/>
              </w:rPr>
              <w:t>1.抽样方法。按《水产品抽样规范》（GB/T30891-2014）执行。</w:t>
            </w:r>
          </w:p>
          <w:p>
            <w:pPr>
              <w:pStyle w:val="null3"/>
              <w:ind w:firstLine="420"/>
              <w:jc w:val="left"/>
            </w:pPr>
            <w:r>
              <w:rPr>
                <w:rFonts w:ascii="仿宋_GB2312" w:hAnsi="仿宋_GB2312" w:cs="仿宋_GB2312" w:eastAsia="仿宋_GB2312"/>
                <w:sz w:val="21"/>
                <w:color w:val="000000"/>
              </w:rPr>
              <w:t>2.监测项目和检测方法（详见附件</w:t>
            </w:r>
            <w:r>
              <w:rPr>
                <w:rFonts w:ascii="仿宋_GB2312" w:hAnsi="仿宋_GB2312" w:cs="仿宋_GB2312" w:eastAsia="仿宋_GB2312"/>
                <w:sz w:val="21"/>
                <w:color w:val="000000"/>
              </w:rPr>
              <w:t>-监测参数和检测方法</w:t>
            </w:r>
            <w:r>
              <w:rPr>
                <w:rFonts w:ascii="仿宋_GB2312" w:hAnsi="仿宋_GB2312" w:cs="仿宋_GB2312" w:eastAsia="仿宋_GB2312"/>
                <w:sz w:val="21"/>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本项目采用一年一签、考核续签方式，首次服务期限一年，服务内容不变且预算落实的前提下，经甲方考核合格，续签合同价格上浮不超过10%或降低，最多续签两年，累计服务期限不超过三年。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采购人指定地点，按照采购人指定方式</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甲乙双方共同对项目进行整体验收。其内容包括是否按照采购人要求进行服务、是否在规定时间内服务完毕。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按检测样本数量如实付款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按检测样本数量如实付款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按检测样本数量如实付款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按检测样本数量如实付款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1、违约责任：按《中华人民共和国民法典》中的相关条款执行。 未按合同要求提供服务或服务质量不能满足技术要求，采购人有权终止合同，并对供方违约行为进行追究，同时按《中华人民共和国政府采购法》的有关规定进行处罚。 2、解决争议的方法：凡因本合同引起的或与本合同有关的争议，双方应友好协商解决。协商不成时，双方均同意采用以下第（1）种争议解决方式：（1）甲、乙双方均同意向（甲方所在地人民法院）提起诉讼。（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分批次，根据甲方农产品例行检测计划的抽检品种和抽检批次及中标单位的成交报价以及实际抽检检测送检个数据实结算。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同时提供以下证明材料： （1）提供依法缴纳税收的良好记录，缴费所属日期为投标截止时间前六个月内任意一个月（投标截止时间当月不计入），证明文件应为至少包含增值税（或企业所得税）的缴费凭据或纳税的银行转账汇款单、对账单等；（依法免税的供应商应提供相关文件证明） （2）提供依法缴纳社会保障资金的良好记录，缴费所属日期为投标截止时间前六个月内任意一个月（投标截止时间当月不计入），证明文件应为转账汇款单或社保部门出具的缴纳社会保障金的凭证等；（依法不需要缴纳社会保障资金的供应商应提供相关证明） (3)提供参加政府采购活动前3年内在经营活动中没有重大违法记录的书面声明。 (4)提供履行合同所必需的设备和专业技术能力的书面声明。</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提供经审计的2023年度、2024年度或2025年度完整的财务审计报告(成立时间至响应文件递交截止时间不足一年的可提供成立后任意时段的资产负债表；事业法人提供部门决算报告；)或响应文件递交截止时间前六个月内其基本开户银行出具的资信证明（附《基本存款账户信息》或《银行开户许可证》复印件）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法定代表人身份证明/法定代表人授权委托书：法定代表人资格证明书、法定代表人授权委托书，附法定代表人（或负责人）身份证复印件及被授权人身份证复印件； 注：法定代表人（或负责人）直接参加磋商只须提供法定代表人资格证明书及法定代表人（或负责人）身份证复印件；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供应商须提供检验检测机构资质认定证书CMA（证书附表要包含食品）和农产品质量安全检测机构考核合格证书CATL；</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控股关系及信用信息</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不得被“信用中国”网站(http://www.creditchina.gov.cn)列入“重大税收违法失信主体”；不得被中国执行信息公开网(http://zxgk.court.gov.cn/shixin/)列入”失信被执行人”；不得被中国政府采购网(http://www.ccgp.gov.cn)列入“政府采购严重违法失信行为记录名单”；（提供书面声明，加盖供应商公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本项目不接受联合体磋商。（提供非联合体书面声明并加盖供应商公章）</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响应文件的签署、盖章、格式应符合“磋商响应文件格式”要求。</w:t>
            </w:r>
          </w:p>
        </w:tc>
        <w:tc>
          <w:tcPr>
            <w:tcW w:type="dxa" w:w="1661"/>
          </w:tcPr>
          <w:p>
            <w:pPr>
              <w:pStyle w:val="null3"/>
            </w:pPr>
            <w:r>
              <w:rPr>
                <w:rFonts w:ascii="仿宋_GB2312" w:hAnsi="仿宋_GB2312" w:cs="仿宋_GB2312" w:eastAsia="仿宋_GB2312"/>
              </w:rPr>
              <w:t>业绩.docx 拟投入项目的场地及设施设备配置.docx 中小企业声明函 质量保证措施.docx 报价表 企业实力.docx 响应文件封面 商务条款相应偏离表.docx 磋商文件要求的其他证明资料及供应商认为有必要说明的事宜.docx 残疾人福利性单位声明函 拟投入项目的团队人员配置.docx 总体服务方案.docx 标的清单 响应函 监狱企业的证明文件 技术条款相应偏离表.docx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投标报价符合唯一性要求，不得提交选择性报价，且报价不超过采购预算金额或最高限价：460,000.00元。</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符合磋商文件要求：自提交磋商响应文件截止之日起90个日历日。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本项目采用一年一签、考核续签方式，首次服务期限一年，服务内容不变且预算落实的前提下，经甲方考核合格，续签合同价格上浮不超过10%或降低，最多续签两年，累计服务期限不超过三年。</w:t>
            </w:r>
          </w:p>
        </w:tc>
        <w:tc>
          <w:tcPr>
            <w:tcW w:type="dxa" w:w="1661"/>
          </w:tcPr>
          <w:p>
            <w:pPr>
              <w:pStyle w:val="null3"/>
            </w:pPr>
            <w:r>
              <w:rPr>
                <w:rFonts w:ascii="仿宋_GB2312" w:hAnsi="仿宋_GB2312" w:cs="仿宋_GB2312" w:eastAsia="仿宋_GB2312"/>
              </w:rPr>
              <w:t>总体服务方案.docx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对磋商文件响应程度及其他</w:t>
            </w:r>
          </w:p>
        </w:tc>
        <w:tc>
          <w:tcPr>
            <w:tcW w:type="dxa" w:w="3322"/>
          </w:tcPr>
          <w:p>
            <w:pPr>
              <w:pStyle w:val="null3"/>
            </w:pPr>
            <w:r>
              <w:rPr>
                <w:rFonts w:ascii="仿宋_GB2312" w:hAnsi="仿宋_GB2312" w:cs="仿宋_GB2312" w:eastAsia="仿宋_GB2312"/>
              </w:rPr>
              <w:t>完全理解并接受对商务要求、技术要求响应，没有实质性负偏离。完全理解并接受法律法规和磋商文件对供应商的各项须知、规约要求和责任义务，没有出现法律法规或磋商文件明确规定的其他被视为“无效投标”的情形。</w:t>
            </w:r>
          </w:p>
        </w:tc>
        <w:tc>
          <w:tcPr>
            <w:tcW w:type="dxa" w:w="1661"/>
          </w:tcPr>
          <w:p>
            <w:pPr>
              <w:pStyle w:val="null3"/>
            </w:pPr>
            <w:r>
              <w:rPr>
                <w:rFonts w:ascii="仿宋_GB2312" w:hAnsi="仿宋_GB2312" w:cs="仿宋_GB2312" w:eastAsia="仿宋_GB2312"/>
              </w:rPr>
              <w:t>业绩.docx 拟投入项目的场地及设施设备配置.docx 中小企业声明函 质量保证措施.docx 报价表 企业实力.docx 响应文件封面 商务条款相应偏离表.docx 磋商文件要求的其他证明资料及供应商认为有必要说明的事宜.docx 残疾人福利性单位声明函 拟投入项目的团队人员配置.docx 总体服务方案.docx 标的清单 响应函 监狱企业的证明文件 技术条款相应偏离表.docx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针对服务内容及要求提出适用于本项目的服务方案，方案内容包含：①服务内容及标准②服务目标③服务计划。 以上内容完整、理解到位、可操作性强，符合本项目实际情况得9分；每缺少一项内容的扣3分，每有一项有缺陷扣0.5分，未提供的不得分，本项得分扣完为止。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供应商应结合自身情况制定切实可行的检测服务方案，应包括①服务可行性措施；②响应时间；③工作方法；④预防性管理方法；⑤报告送达时间等方面。 以上内容完整、理解到位、可操作性强，符合本项目实际情况得10分；每缺少一项内容的扣2分，每有一项有缺陷扣0.5分，未提供的不得分，本项得分扣完为止。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项目重、难点分析及合理化建议</w:t>
            </w:r>
          </w:p>
        </w:tc>
        <w:tc>
          <w:tcPr>
            <w:tcW w:type="dxa" w:w="2492"/>
          </w:tcPr>
          <w:p>
            <w:pPr>
              <w:pStyle w:val="null3"/>
            </w:pPr>
            <w:r>
              <w:rPr>
                <w:rFonts w:ascii="仿宋_GB2312" w:hAnsi="仿宋_GB2312" w:cs="仿宋_GB2312" w:eastAsia="仿宋_GB2312"/>
              </w:rPr>
              <w:t>①根据项目具体情况提出重、难点分析并提出控制措施： ②针对本项目实际需求，提供实质性的合理化建议。 以上内容完整、理解到位、可操作性强，符合本项目实际情况得6分；每缺少一项内容的扣3分，每有一项有缺陷扣0.5分，未提供的不得分，本项得分扣完为止。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针对服务内容及要求提出适用于本项目的应急响应方案，方案内容包含但不限于：①应急响应时间；②应急处理程序；③应急保障措施。 以上内容完整、理解到位、可操作性强，符合本项目实际情况得9分；每缺少一项内容的扣3分，每有一项有缺陷扣0.5分，未提供的不得分，本项得分扣完为止。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供应商有完善的投诉受理机制，能够对被抽检人的异议做出有效回应。 投诉受理规范、有专门负责人/部门负责，制度完善计3分，有缺陷扣0.5分，扣完为止。未提供的不得分。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质量控制措施及服务进度的保证措施</w:t>
            </w:r>
          </w:p>
        </w:tc>
        <w:tc>
          <w:tcPr>
            <w:tcW w:type="dxa" w:w="2492"/>
          </w:tcPr>
          <w:p>
            <w:pPr>
              <w:pStyle w:val="null3"/>
            </w:pPr>
            <w:r>
              <w:rPr>
                <w:rFonts w:ascii="仿宋_GB2312" w:hAnsi="仿宋_GB2312" w:cs="仿宋_GB2312" w:eastAsia="仿宋_GB2312"/>
              </w:rPr>
              <w:t>包含但不限于：①质量控制措施方案；②服务进度和后期服务保证措施。 以上内容完整、理解到位、可操作性强，符合本项目实际情况得6分；每缺少一项内容的扣3分，每有一项有缺陷扣0.5分，未提供的不得分，本项得分扣完为止。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具有完善的：①农产品安全检测制度；②检验档案管理制度；③责任追究制度等管理制度。 以上内容完整、理解到位、可操作性强，符合本项目实际情况得9分；每缺少一项内容的扣3分，每有一项有缺陷扣0.5分，未提供的不得分，本项得分扣完为止。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拟投入项目的团队人员配置</w:t>
            </w:r>
          </w:p>
        </w:tc>
        <w:tc>
          <w:tcPr>
            <w:tcW w:type="dxa" w:w="2492"/>
          </w:tcPr>
          <w:p>
            <w:pPr>
              <w:pStyle w:val="null3"/>
            </w:pPr>
            <w:r>
              <w:rPr>
                <w:rFonts w:ascii="仿宋_GB2312" w:hAnsi="仿宋_GB2312" w:cs="仿宋_GB2312" w:eastAsia="仿宋_GB2312"/>
              </w:rPr>
              <w:t>①拟投入的团队人员配置(项目管理、技术、服务人员)专业合理，人员配备齐全、岗位职责明确。1、团队人员配置合理、齐全、清晰得5分；2、团队人员配置模糊、人员不齐全、不清晰得的得3分；3、未提供的不得分。 ②专业技术人员：拟投入本项目人员有中级或以上技术职称的，每提供一个得1分，最多得5分。提供身份证、职称证、社保证明等相关证件。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拟投入项目的团队人员配置.docx</w:t>
            </w:r>
          </w:p>
        </w:tc>
      </w:tr>
      <w:tr>
        <w:tc>
          <w:tcPr>
            <w:tcW w:type="dxa" w:w="831"/>
            <w:vMerge/>
          </w:tcPr>
          <w:p/>
        </w:tc>
        <w:tc>
          <w:tcPr>
            <w:tcW w:type="dxa" w:w="1661"/>
          </w:tcPr>
          <w:p>
            <w:pPr>
              <w:pStyle w:val="null3"/>
            </w:pPr>
            <w:r>
              <w:rPr>
                <w:rFonts w:ascii="仿宋_GB2312" w:hAnsi="仿宋_GB2312" w:cs="仿宋_GB2312" w:eastAsia="仿宋_GB2312"/>
              </w:rPr>
              <w:t>拟投入项目的场地及设施设备配置</w:t>
            </w:r>
          </w:p>
        </w:tc>
        <w:tc>
          <w:tcPr>
            <w:tcW w:type="dxa" w:w="2492"/>
          </w:tcPr>
          <w:p>
            <w:pPr>
              <w:pStyle w:val="null3"/>
            </w:pPr>
            <w:r>
              <w:rPr>
                <w:rFonts w:ascii="仿宋_GB2312" w:hAnsi="仿宋_GB2312" w:cs="仿宋_GB2312" w:eastAsia="仿宋_GB2312"/>
              </w:rPr>
              <w:t>①供应商有实验室且实验场所面积达到3000平方米（含3000平方米）以上的得3分，实验场所面积1500（含1500平方米）-3000平方米得1分。低于1500平方米不得分，提供房产证或房屋租赁合同，不提供不得分。 ②实验室设施配置（配有农产品冷藏样品存储的专用冷库，提供证明材料），冷库面积≥150平方米得3分；冷库面积150平方米以下得1分，不提供不得分。 ③检验机构具有高效液相色谱仪、气相色谱仪、紫外分光光度计、原子荧光分光光度计、原子吸收光谱仪、气相色谱-质谱联用仪、液相色谱-质谱联用仪等设备，同种设备不重复加分，每有一种得1分，最多得7分。(供应商提供每台仪器设备的图片及购置发票和有效期内校准证书等复印件。)</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拟投入项目的场地及设施设备配置.docx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1.供应商获得中国合格评定国家认可委员会证书“CNAS ”提供得2分； 2.供应商具备经认证机构出具的质量管理体系、环境管理体系、职业安全健康管理体系认证证书，每提供一项得 1分，一共3分。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供应商提供2023年1月1日以来类似项目业绩合同，每提供一份，得2分，满分10分。(以合同为准，合同页码较多的可提供首页、合同内容、金额、时间页、双方盖章页即可，弄虚作假者取消其磋商、成交资格。)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1、经符合性审查合格的供应商，其磋商报价为有效磋商报价。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4、磋商报价不完整的，不进入磋商基准价的计算，本项得0分。4、本项目专门面向中小企业采购，不再执行价格评审优惠的扶持政策。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详见附件：技术条款相应偏离表.docx</w:t>
      </w:r>
    </w:p>
    <w:p>
      <w:pPr>
        <w:pStyle w:val="null3"/>
        <w:ind w:firstLine="960"/>
      </w:pPr>
      <w:r>
        <w:rPr>
          <w:rFonts w:ascii="仿宋_GB2312" w:hAnsi="仿宋_GB2312" w:cs="仿宋_GB2312" w:eastAsia="仿宋_GB2312"/>
        </w:rPr>
        <w:t>详见附件：商务条款相应偏离表.docx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详见附件：拟投入项目的团队人员配置.docx</w:t>
      </w:r>
    </w:p>
    <w:p>
      <w:pPr>
        <w:pStyle w:val="null3"/>
        <w:ind w:firstLine="960"/>
      </w:pPr>
      <w:r>
        <w:rPr>
          <w:rFonts w:ascii="仿宋_GB2312" w:hAnsi="仿宋_GB2312" w:cs="仿宋_GB2312" w:eastAsia="仿宋_GB2312"/>
        </w:rPr>
        <w:t>详见附件：拟投入项目的场地及设施设备配置.docx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详见附件：磋商文件要求的其他证明资料及供应商认为有必要说明的事宜.docx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