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版本号：SYCG-CS-2601120260403001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三原县2026年建制村通双车道、通村公路完善工程设计服务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SYCG-CS-26011</w:t>
      </w:r>
      <w:r>
        <w:br/>
      </w:r>
      <w:r>
        <w:br/>
      </w:r>
      <w:r>
        <w:br/>
      </w:r>
    </w:p>
    <w:p>
      <w:pPr>
        <w:pStyle w:val="null3"/>
        <w:jc w:val="center"/>
        <w:outlineLvl w:val="2"/>
      </w:pPr>
      <w:r>
        <w:rPr>
          <w:rFonts w:ascii="仿宋_GB2312" w:hAnsi="仿宋_GB2312" w:cs="仿宋_GB2312" w:eastAsia="仿宋_GB2312"/>
          <w:sz w:val="28"/>
          <w:b/>
        </w:rPr>
        <w:t>三原县农村公路管理站</w:t>
      </w:r>
    </w:p>
    <w:p>
      <w:pPr>
        <w:pStyle w:val="null3"/>
        <w:jc w:val="center"/>
        <w:outlineLvl w:val="2"/>
      </w:pPr>
      <w:r>
        <w:rPr>
          <w:rFonts w:ascii="仿宋_GB2312" w:hAnsi="仿宋_GB2312" w:cs="仿宋_GB2312" w:eastAsia="仿宋_GB2312"/>
          <w:sz w:val="28"/>
          <w:b/>
        </w:rPr>
        <w:t>三原县政府采购中心</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2026年04月03日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三原县政府采购中心</w:t>
      </w:r>
      <w:r>
        <w:rPr>
          <w:rFonts w:ascii="仿宋_GB2312" w:hAnsi="仿宋_GB2312" w:cs="仿宋_GB2312" w:eastAsia="仿宋_GB2312"/>
        </w:rPr>
        <w:t>（以下简称“代理机构”）受</w:t>
      </w:r>
      <w:r>
        <w:rPr>
          <w:rFonts w:ascii="仿宋_GB2312" w:hAnsi="仿宋_GB2312" w:cs="仿宋_GB2312" w:eastAsia="仿宋_GB2312"/>
        </w:rPr>
        <w:t>三原县农村公路管理站</w:t>
      </w:r>
      <w:r>
        <w:rPr>
          <w:rFonts w:ascii="仿宋_GB2312" w:hAnsi="仿宋_GB2312" w:cs="仿宋_GB2312" w:eastAsia="仿宋_GB2312"/>
        </w:rPr>
        <w:t>委托，拟对</w:t>
      </w:r>
      <w:r>
        <w:rPr>
          <w:rFonts w:ascii="仿宋_GB2312" w:hAnsi="仿宋_GB2312" w:cs="仿宋_GB2312" w:eastAsia="仿宋_GB2312"/>
        </w:rPr>
        <w:t>三原县2026年建制村通双车道、通村公路完善工程设计服务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SYCG-CS-26011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三原县2026年建制村通双车道、通村公路完善工程设计服务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2026年下达我县建制村通双车道工程共计5条5.395公里，分别为对里一组-焦马二组、新兴-柿树巷、对里-西焦马等；通村公路完善工程共计20条29.22公里，分别为双槐-柴尧、安家至马东、郑家至康家等，现拟对以上项目进行设计服务采购，完成现场勘察并编制施工图设计及预算文件。</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采购包1（三原县2026年建制村通双车道，通村公路完善工程设计服务）：属于专门面向中小企业采购。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1、响应主体：独立承担民事责任的法人或其他组织有效的营业执照（或统一社会信用代码的营业执照）等相应证明文件，自然人的提供身份证明文件；</w:t>
      </w:r>
    </w:p>
    <w:p>
      <w:pPr>
        <w:pStyle w:val="null3"/>
      </w:pPr>
      <w:r>
        <w:rPr>
          <w:rFonts w:ascii="仿宋_GB2312" w:hAnsi="仿宋_GB2312" w:cs="仿宋_GB2312" w:eastAsia="仿宋_GB2312"/>
        </w:rPr>
        <w:t>2、特定资质：具备行业主管部门颁发的公路行业（公路）专业丙级及以上设计资质；</w:t>
      </w:r>
    </w:p>
    <w:p>
      <w:pPr>
        <w:pStyle w:val="null3"/>
      </w:pPr>
      <w:r>
        <w:rPr>
          <w:rFonts w:ascii="仿宋_GB2312" w:hAnsi="仿宋_GB2312" w:cs="仿宋_GB2312" w:eastAsia="仿宋_GB2312"/>
        </w:rPr>
        <w:t>3、拟派项目负责人：拟派项目负责人须具备公路行业相关专业中级职称及以上职称。提供投标截止时间前 3 个月内任意一个月社保缴纳证明</w:t>
      </w:r>
    </w:p>
    <w:p>
      <w:pPr>
        <w:pStyle w:val="null3"/>
      </w:pPr>
      <w:r>
        <w:rPr>
          <w:rFonts w:ascii="仿宋_GB2312" w:hAnsi="仿宋_GB2312" w:cs="仿宋_GB2312" w:eastAsia="仿宋_GB2312"/>
        </w:rPr>
        <w:t>4、财务状况报告：供应商提供2024或2025年经审计的财务报告，或自公告发布之日起至响应文件截止时间前其基本存款账户开户银行出具的资信证明，并附基本存款账户开户许可证或提供基本存款账号编号；其他组织和自然人提供银行出具的资信证明；</w:t>
      </w:r>
    </w:p>
    <w:p>
      <w:pPr>
        <w:pStyle w:val="null3"/>
      </w:pPr>
      <w:r>
        <w:rPr>
          <w:rFonts w:ascii="仿宋_GB2312" w:hAnsi="仿宋_GB2312" w:cs="仿宋_GB2312" w:eastAsia="仿宋_GB2312"/>
        </w:rPr>
        <w:t>5、税收缴纳证明：提供开标截止时间前半年内至少一个月的纳税证明或完税证明；依法免税的单位应提供相关证明材料；</w:t>
      </w:r>
    </w:p>
    <w:p>
      <w:pPr>
        <w:pStyle w:val="null3"/>
      </w:pPr>
      <w:r>
        <w:rPr>
          <w:rFonts w:ascii="仿宋_GB2312" w:hAnsi="仿宋_GB2312" w:cs="仿宋_GB2312" w:eastAsia="仿宋_GB2312"/>
        </w:rPr>
        <w:t>6、社会保障资金缴纳证明：提供开标截止时间前半年内至少一个月的社保机构开具的社会保险参保缴费情况证明；依法不需要缴纳社会保障资金的单位应提供相关证明材料；</w:t>
      </w:r>
    </w:p>
    <w:p>
      <w:pPr>
        <w:pStyle w:val="null3"/>
      </w:pPr>
      <w:r>
        <w:rPr>
          <w:rFonts w:ascii="仿宋_GB2312" w:hAnsi="仿宋_GB2312" w:cs="仿宋_GB2312" w:eastAsia="仿宋_GB2312"/>
        </w:rPr>
        <w:t>7、法定代表人授权委托书：法定代表人或负责人参加投标时，提供本人身份证，并与营业执照中法定代表人或负责人信息相符；授权代表参加投标时，提供授权书和被授权人身份证；</w:t>
      </w:r>
    </w:p>
    <w:p>
      <w:pPr>
        <w:pStyle w:val="null3"/>
      </w:pPr>
      <w:r>
        <w:rPr>
          <w:rFonts w:ascii="仿宋_GB2312" w:hAnsi="仿宋_GB2312" w:cs="仿宋_GB2312" w:eastAsia="仿宋_GB2312"/>
        </w:rPr>
        <w:t>8、信用中国：供应商不得为“信用中国”网站（www.creditchina.gov.cn）中被列入“重大税收违法失信主体”的供应商,不得为“中国执行信息公开网”网站（zxgk.court.gov.cn/））中被列入“失信被执行人”的供应商；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9、重大违法声明：供应商参加采购活动近3年内经营活动中没有重大违法记录声明，以及未被列入失信被执行人、重大税收违法案件当事人名单、政府采购严重违法失信行为记录名单的书面声明</w:t>
      </w:r>
    </w:p>
    <w:p>
      <w:pPr>
        <w:pStyle w:val="null3"/>
      </w:pPr>
      <w:r>
        <w:rPr>
          <w:rFonts w:ascii="仿宋_GB2312" w:hAnsi="仿宋_GB2312" w:cs="仿宋_GB2312" w:eastAsia="仿宋_GB2312"/>
        </w:rPr>
        <w:t>10、非联合体：供应商负责人不得为同一人或者存在控股、管理关系</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三原县农村公路管理站</w:t>
      </w:r>
    </w:p>
    <w:p>
      <w:pPr>
        <w:pStyle w:val="null3"/>
      </w:pPr>
      <w:r>
        <w:rPr>
          <w:rFonts w:ascii="仿宋_GB2312" w:hAnsi="仿宋_GB2312" w:cs="仿宋_GB2312" w:eastAsia="仿宋_GB2312"/>
        </w:rPr>
        <w:t xml:space="preserve"> 地址： </w:t>
      </w:r>
      <w:r>
        <w:rPr>
          <w:rFonts w:ascii="仿宋_GB2312" w:hAnsi="仿宋_GB2312" w:cs="仿宋_GB2312" w:eastAsia="仿宋_GB2312"/>
        </w:rPr>
        <w:t>三原县城关镇三里店</w:t>
      </w:r>
    </w:p>
    <w:p>
      <w:pPr>
        <w:pStyle w:val="null3"/>
      </w:pPr>
      <w:r>
        <w:rPr>
          <w:rFonts w:ascii="仿宋_GB2312" w:hAnsi="仿宋_GB2312" w:cs="仿宋_GB2312" w:eastAsia="仿宋_GB2312"/>
        </w:rPr>
        <w:t xml:space="preserve"> 邮编： </w:t>
      </w:r>
      <w:r>
        <w:rPr>
          <w:rFonts w:ascii="仿宋_GB2312" w:hAnsi="仿宋_GB2312" w:cs="仿宋_GB2312" w:eastAsia="仿宋_GB2312"/>
        </w:rPr>
        <w:t>713800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钱先生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029-32316365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三原县政府采购中心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三原县政府街7号三原县财政局</w:t>
      </w:r>
    </w:p>
    <w:p>
      <w:pPr>
        <w:pStyle w:val="null3"/>
      </w:pPr>
      <w:r>
        <w:rPr>
          <w:rFonts w:ascii="仿宋_GB2312" w:hAnsi="仿宋_GB2312" w:cs="仿宋_GB2312" w:eastAsia="仿宋_GB2312"/>
        </w:rPr>
        <w:t xml:space="preserve"> 邮编： </w:t>
      </w:r>
      <w:r>
        <w:rPr>
          <w:rFonts w:ascii="仿宋_GB2312" w:hAnsi="仿宋_GB2312" w:cs="仿宋_GB2312" w:eastAsia="仿宋_GB2312"/>
        </w:rPr>
        <w:t>713800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029-32269233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三原县政府采购管理股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席先生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029-3226865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采购包1：850,000.00元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本项目不收取代理服务费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三原县农村公路管理站</w:t>
      </w:r>
      <w:r>
        <w:rPr>
          <w:rFonts w:ascii="仿宋_GB2312" w:hAnsi="仿宋_GB2312" w:cs="仿宋_GB2312" w:eastAsia="仿宋_GB2312"/>
        </w:rPr>
        <w:t>和</w:t>
      </w:r>
      <w:r>
        <w:rPr>
          <w:rFonts w:ascii="仿宋_GB2312" w:hAnsi="仿宋_GB2312" w:cs="仿宋_GB2312" w:eastAsia="仿宋_GB2312"/>
        </w:rPr>
        <w:t>三原县政府采购中心</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三原县农村公路管理站</w:t>
      </w:r>
      <w:r>
        <w:rPr>
          <w:rFonts w:ascii="仿宋_GB2312" w:hAnsi="仿宋_GB2312" w:cs="仿宋_GB2312" w:eastAsia="仿宋_GB2312"/>
        </w:rPr>
        <w:t>负责解释。除上述磋商文件内容，其他内容由</w:t>
      </w:r>
      <w:r>
        <w:rPr>
          <w:rFonts w:ascii="仿宋_GB2312" w:hAnsi="仿宋_GB2312" w:cs="仿宋_GB2312" w:eastAsia="仿宋_GB2312"/>
        </w:rPr>
        <w:t>三原县政府采购中心</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三原县农村公路管理站</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三原县政府采购中心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符合《公路工程技术标准》《小交通量农村公路工程技术标准》及相关规范，成果合格、资料完整、按期交付。</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三原县政府采购中心</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三原县政府采购中心</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三原县政府采购中心</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联系人：王先生</w:t>
      </w:r>
    </w:p>
    <w:p>
      <w:pPr>
        <w:pStyle w:val="null3"/>
      </w:pPr>
      <w:r>
        <w:rPr>
          <w:rFonts w:ascii="仿宋_GB2312" w:hAnsi="仿宋_GB2312" w:cs="仿宋_GB2312" w:eastAsia="仿宋_GB2312"/>
        </w:rPr>
        <w:t>联系电话：029-32269233</w:t>
      </w:r>
    </w:p>
    <w:p>
      <w:pPr>
        <w:pStyle w:val="null3"/>
      </w:pPr>
      <w:r>
        <w:rPr>
          <w:rFonts w:ascii="仿宋_GB2312" w:hAnsi="仿宋_GB2312" w:cs="仿宋_GB2312" w:eastAsia="仿宋_GB2312"/>
        </w:rPr>
        <w:t>地址：三原县政府街7号三原县财政局</w:t>
      </w:r>
    </w:p>
    <w:p>
      <w:pPr>
        <w:pStyle w:val="null3"/>
      </w:pPr>
      <w:r>
        <w:rPr>
          <w:rFonts w:ascii="仿宋_GB2312" w:hAnsi="仿宋_GB2312" w:cs="仿宋_GB2312" w:eastAsia="仿宋_GB2312"/>
        </w:rPr>
        <w:t>邮编：713800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2026年下达我县建制村通双车道工程共计5条5.395公里，分别为对里一组-焦马二组、新兴-柿树巷、对里-西焦马等；通村公路完善工程共计20条29.22公里，分别为双槐-柴尧、安家至马东、郑家至康家等，现拟对以上项目进行设计服务采购，完成现场勘察并编制施工图设计及预算文件。</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850,000.00</w:t>
      </w:r>
    </w:p>
    <w:p>
      <w:pPr>
        <w:pStyle w:val="null3"/>
      </w:pPr>
      <w:r>
        <w:rPr>
          <w:rFonts w:ascii="仿宋_GB2312" w:hAnsi="仿宋_GB2312" w:cs="仿宋_GB2312" w:eastAsia="仿宋_GB2312"/>
        </w:rPr>
        <w:t>采购包最高限价（元）: 850,000.00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工程设计服务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850,000.00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标的名称：工程设计服务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b/>
              </w:rPr>
              <w:t>一、基础勘察要求</w:t>
            </w:r>
          </w:p>
          <w:p>
            <w:pPr>
              <w:pStyle w:val="null3"/>
            </w:pPr>
            <w:r>
              <w:rPr>
                <w:rFonts w:ascii="仿宋_GB2312" w:hAnsi="仿宋_GB2312" w:cs="仿宋_GB2312" w:eastAsia="仿宋_GB2312"/>
              </w:rPr>
              <w:t>供应商须按国家及行业现行规范开展现场踏勘、地形测量、现状调查、地质核查等工作，完整收集路线、路基、路面、排水、交叉、安保及附属设施基础资料，数据真实、准确、齐全，满足施工图设计编制要求。</w:t>
            </w:r>
          </w:p>
          <w:p>
            <w:pPr>
              <w:pStyle w:val="null3"/>
            </w:pPr>
            <w:r>
              <w:rPr>
                <w:rFonts w:ascii="仿宋_GB2312" w:hAnsi="仿宋_GB2312" w:cs="仿宋_GB2312" w:eastAsia="仿宋_GB2312"/>
                <w:b/>
              </w:rPr>
              <w:t>二、设计标准与规范</w:t>
            </w:r>
          </w:p>
          <w:p>
            <w:pPr>
              <w:pStyle w:val="null3"/>
            </w:pPr>
            <w:r>
              <w:rPr>
                <w:rFonts w:ascii="仿宋_GB2312" w:hAnsi="仿宋_GB2312" w:cs="仿宋_GB2312" w:eastAsia="仿宋_GB2312"/>
              </w:rPr>
              <w:t>严格按照《公路工程技术标准》（JTG B01-2014）、《小交通量农村公路工程技术标准》（JTG 2111-2019）及公路路面、排水、交通安全设施等相关现行规范，完成</w:t>
            </w:r>
            <w:r>
              <w:rPr>
                <w:rFonts w:ascii="仿宋_GB2312" w:hAnsi="仿宋_GB2312" w:cs="仿宋_GB2312" w:eastAsia="仿宋_GB2312"/>
                <w:b/>
              </w:rPr>
              <w:t>建制村通双车道、通村公路完善工程</w:t>
            </w:r>
            <w:r>
              <w:rPr>
                <w:rFonts w:ascii="仿宋_GB2312" w:hAnsi="仿宋_GB2312" w:cs="仿宋_GB2312" w:eastAsia="仿宋_GB2312"/>
              </w:rPr>
              <w:t>施工图设计，确保路线顺适、路基稳定、路面结构合理、排水系统完善、安保设施齐全、交叉工程规范，设计深度满足施工、招标及行业审查要求。</w:t>
            </w:r>
          </w:p>
          <w:p>
            <w:pPr>
              <w:pStyle w:val="null3"/>
            </w:pPr>
            <w:r>
              <w:rPr>
                <w:rFonts w:ascii="仿宋_GB2312" w:hAnsi="仿宋_GB2312" w:cs="仿宋_GB2312" w:eastAsia="仿宋_GB2312"/>
                <w:b/>
              </w:rPr>
              <w:t>三、施工图设计要求</w:t>
            </w:r>
          </w:p>
          <w:p>
            <w:pPr>
              <w:pStyle w:val="null3"/>
            </w:pPr>
            <w:r>
              <w:rPr>
                <w:rFonts w:ascii="仿宋_GB2312" w:hAnsi="仿宋_GB2312" w:cs="仿宋_GB2312" w:eastAsia="仿宋_GB2312"/>
              </w:rPr>
              <w:t>施工图设计文件内容完整、图纸清晰、说明规范、深度达标，包含路线、路基、路面、排水、涵洞、交叉工程、交通安全设施及必要附属工程，符合农村公路建设实际，满足项目审批、施工及后期管理需求。</w:t>
            </w:r>
          </w:p>
          <w:p>
            <w:pPr>
              <w:pStyle w:val="null3"/>
            </w:pPr>
            <w:r>
              <w:rPr>
                <w:rFonts w:ascii="仿宋_GB2312" w:hAnsi="仿宋_GB2312" w:cs="仿宋_GB2312" w:eastAsia="仿宋_GB2312"/>
                <w:b/>
              </w:rPr>
              <w:t>四、预算编制要求</w:t>
            </w:r>
          </w:p>
          <w:p>
            <w:pPr>
              <w:pStyle w:val="null3"/>
            </w:pPr>
            <w:r>
              <w:rPr>
                <w:rFonts w:ascii="仿宋_GB2312" w:hAnsi="仿宋_GB2312" w:cs="仿宋_GB2312" w:eastAsia="仿宋_GB2312"/>
              </w:rPr>
              <w:t>依据施工图设计、现行公路工程计价依据、费用标准及当地材料价格，编制工程预算文件；工程量计算准确、定额套用正确、取费合规、单价合理，成果满足造价控制、资金申请及行业审查要求。</w:t>
            </w:r>
          </w:p>
          <w:p>
            <w:pPr>
              <w:pStyle w:val="null3"/>
            </w:pPr>
            <w:r>
              <w:rPr>
                <w:rFonts w:ascii="仿宋_GB2312" w:hAnsi="仿宋_GB2312" w:cs="仿宋_GB2312" w:eastAsia="仿宋_GB2312"/>
                <w:b/>
              </w:rPr>
              <w:t>五、成果交付要求</w:t>
            </w:r>
          </w:p>
          <w:p>
            <w:pPr>
              <w:pStyle w:val="null3"/>
            </w:pPr>
            <w:r>
              <w:rPr>
                <w:rFonts w:ascii="仿宋_GB2312" w:hAnsi="仿宋_GB2312" w:cs="仿宋_GB2312" w:eastAsia="仿宋_GB2312"/>
              </w:rPr>
              <w:t>提交全套成果文件，含勘察资料、施工图设计图纸、设计说明、工程预算书、工程量清单及对应电子文档；文件格式规范、签章齐全、装订整齐，满足采购人报送、审查、备案及项目实施要求。</w:t>
            </w:r>
          </w:p>
          <w:p>
            <w:pPr>
              <w:pStyle w:val="null3"/>
            </w:pPr>
            <w:r>
              <w:rPr>
                <w:rFonts w:ascii="仿宋_GB2312" w:hAnsi="仿宋_GB2312" w:cs="仿宋_GB2312" w:eastAsia="仿宋_GB2312"/>
                <w:b/>
              </w:rPr>
              <w:t>六、质量与合规要求</w:t>
            </w:r>
          </w:p>
          <w:p>
            <w:pPr>
              <w:pStyle w:val="null3"/>
            </w:pPr>
            <w:r>
              <w:rPr>
                <w:rFonts w:ascii="仿宋_GB2312" w:hAnsi="仿宋_GB2312" w:cs="仿宋_GB2312" w:eastAsia="仿宋_GB2312"/>
              </w:rPr>
              <w:t>设计成果遵循安全、实用、经济、环保原则，与项目地形、地质、交通需求及地方规划相协调，成果合法合规、可落地实施，通过采购人及行业主管部门验收。</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供应商根据项目实际情况配置</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供应商根据项目实际情况配置</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60日历天</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甲方指定地点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项目按照计划工期服务期满后，经甲方组织验收并达到合格（符合国家、行业的标准和有关规定）</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提交施工图设计成果后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甲方对该项目组织验收并达到合格</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在履行过程中发生的与之有关的任何争议，双方友好协商解决，协商不成，依法向甲方所在地人民法院提起诉讼。</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供应商应提交的相关资格证明材料 标的清单 报价表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响应主体</w:t>
            </w:r>
          </w:p>
        </w:tc>
        <w:tc>
          <w:tcPr>
            <w:tcW w:type="dxa" w:w="3322"/>
          </w:tcPr>
          <w:p>
            <w:pPr>
              <w:pStyle w:val="null3"/>
            </w:pPr>
            <w:r>
              <w:rPr>
                <w:rFonts w:ascii="仿宋_GB2312" w:hAnsi="仿宋_GB2312" w:cs="仿宋_GB2312" w:eastAsia="仿宋_GB2312"/>
              </w:rPr>
              <w:t>独立承担民事责任的法人或其他组织有效的营业执照（或统一社会信用代码的营业执照）等相应证明文件，自然人的提供身份证明文件；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特定资质</w:t>
            </w:r>
          </w:p>
        </w:tc>
        <w:tc>
          <w:tcPr>
            <w:tcW w:type="dxa" w:w="3322"/>
          </w:tcPr>
          <w:p>
            <w:pPr>
              <w:pStyle w:val="null3"/>
            </w:pPr>
            <w:r>
              <w:rPr>
                <w:rFonts w:ascii="仿宋_GB2312" w:hAnsi="仿宋_GB2312" w:cs="仿宋_GB2312" w:eastAsia="仿宋_GB2312"/>
              </w:rPr>
              <w:t>具备行业主管部门颁发的公路行业（公路）专业丙级及以上设计资质；</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拟派项目负责人</w:t>
            </w:r>
          </w:p>
        </w:tc>
        <w:tc>
          <w:tcPr>
            <w:tcW w:type="dxa" w:w="3322"/>
          </w:tcPr>
          <w:p>
            <w:pPr>
              <w:pStyle w:val="null3"/>
            </w:pPr>
            <w:r>
              <w:rPr>
                <w:rFonts w:ascii="仿宋_GB2312" w:hAnsi="仿宋_GB2312" w:cs="仿宋_GB2312" w:eastAsia="仿宋_GB2312"/>
              </w:rPr>
              <w:t>拟派项目负责人须具备公路行业相关专业中级职称及以上职称。提供投标截止时间前 3 个月内任意一个月社保缴纳证明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供应商提供2024或2025年经审计的财务报告，或自公告发布之日起至响应文件截止时间前其基本存款账户开户银行出具的资信证明，并附基本存款账户开户许可证或提供基本存款账号编号；其他组织和自然人提供银行出具的资信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提供开标截止时间前半年内至少一个月的纳税证明或完税证明；依法免税的单位应提供相关证明材料；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提供开标截止时间前半年内至少一个月的社保机构开具的社会保险参保缴费情况证明；依法不需要缴纳社会保障资金的单位应提供相关证明材料；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法定代表人或负责人参加投标时，提供本人身份证，并与营业执照中法定代表人或负责人信息相符；授权代表参加投标时，提供授权书和被授权人身份证；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信用中国</w:t>
            </w:r>
          </w:p>
        </w:tc>
        <w:tc>
          <w:tcPr>
            <w:tcW w:type="dxa" w:w="3322"/>
          </w:tcPr>
          <w:p>
            <w:pPr>
              <w:pStyle w:val="null3"/>
            </w:pPr>
            <w:r>
              <w:rPr>
                <w:rFonts w:ascii="仿宋_GB2312" w:hAnsi="仿宋_GB2312" w:cs="仿宋_GB2312" w:eastAsia="仿宋_GB2312"/>
              </w:rPr>
              <w:t>供应商不得为“信用中国”网站（www.creditchina.gov.cn）中被列入“重大税收违法失信主体”的供应商,不得为“中国执行信息公开网”网站（zxgk.court.gov.cn/））中被列入“失信被执行人”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重大违法声明</w:t>
            </w:r>
          </w:p>
        </w:tc>
        <w:tc>
          <w:tcPr>
            <w:tcW w:type="dxa" w:w="3322"/>
          </w:tcPr>
          <w:p>
            <w:pPr>
              <w:pStyle w:val="null3"/>
            </w:pPr>
            <w:r>
              <w:rPr>
                <w:rFonts w:ascii="仿宋_GB2312" w:hAnsi="仿宋_GB2312" w:cs="仿宋_GB2312" w:eastAsia="仿宋_GB2312"/>
              </w:rPr>
              <w:t>供应商参加采购活动近3年内经营活动中没有重大违法记录声明，以及未被列入失信被执行人、重大税收违法案件当事人名单、政府采购严重违法失信行为记录名单的书面声明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非联合体</w:t>
            </w:r>
          </w:p>
        </w:tc>
        <w:tc>
          <w:tcPr>
            <w:tcW w:type="dxa" w:w="3322"/>
          </w:tcPr>
          <w:p>
            <w:pPr>
              <w:pStyle w:val="null3"/>
            </w:pPr>
            <w:r>
              <w:rPr>
                <w:rFonts w:ascii="仿宋_GB2312" w:hAnsi="仿宋_GB2312" w:cs="仿宋_GB2312" w:eastAsia="仿宋_GB2312"/>
              </w:rPr>
              <w:t>供应商负责人不得为同一人或者存在控股、管理关系</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响应文件报价</w:t>
            </w:r>
          </w:p>
        </w:tc>
        <w:tc>
          <w:tcPr>
            <w:tcW w:type="dxa" w:w="3322"/>
          </w:tcPr>
          <w:p>
            <w:pPr>
              <w:pStyle w:val="null3"/>
            </w:pPr>
            <w:r>
              <w:rPr>
                <w:rFonts w:ascii="仿宋_GB2312" w:hAnsi="仿宋_GB2312" w:cs="仿宋_GB2312" w:eastAsia="仿宋_GB2312"/>
              </w:rPr>
              <w:t>报价唯一，且没有低于成本价或高于采购预算的</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响应文件有效性</w:t>
            </w:r>
          </w:p>
        </w:tc>
        <w:tc>
          <w:tcPr>
            <w:tcW w:type="dxa" w:w="3322"/>
          </w:tcPr>
          <w:p>
            <w:pPr>
              <w:pStyle w:val="null3"/>
            </w:pPr>
            <w:r>
              <w:rPr>
                <w:rFonts w:ascii="仿宋_GB2312" w:hAnsi="仿宋_GB2312" w:cs="仿宋_GB2312" w:eastAsia="仿宋_GB2312"/>
              </w:rPr>
              <w:t>响应文件的签署、盖章符合文件要求，供应商 递交的响应文件与本项目名称一致</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供应商应提交的相关资格证明材料 标的清单 报价表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有效期、授权有效期</w:t>
            </w:r>
          </w:p>
        </w:tc>
        <w:tc>
          <w:tcPr>
            <w:tcW w:type="dxa" w:w="3322"/>
          </w:tcPr>
          <w:p>
            <w:pPr>
              <w:pStyle w:val="null3"/>
            </w:pPr>
            <w:r>
              <w:rPr>
                <w:rFonts w:ascii="仿宋_GB2312" w:hAnsi="仿宋_GB2312" w:cs="仿宋_GB2312" w:eastAsia="仿宋_GB2312"/>
              </w:rPr>
              <w:t>文件递交截止之日起90日历日</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供应商应提交的相关资格证明材料 标的清单 报价表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响应文件响应性</w:t>
            </w:r>
          </w:p>
        </w:tc>
        <w:tc>
          <w:tcPr>
            <w:tcW w:type="dxa" w:w="3322"/>
          </w:tcPr>
          <w:p>
            <w:pPr>
              <w:pStyle w:val="null3"/>
            </w:pPr>
            <w:r>
              <w:rPr>
                <w:rFonts w:ascii="仿宋_GB2312" w:hAnsi="仿宋_GB2312" w:cs="仿宋_GB2312" w:eastAsia="仿宋_GB2312"/>
              </w:rPr>
              <w:t>服务期限响应文件要求</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供应商应提交的相关资格证明材料 标的清单 报价表 响应函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对本项目的理解</w:t>
            </w:r>
          </w:p>
        </w:tc>
        <w:tc>
          <w:tcPr>
            <w:tcW w:type="dxa" w:w="2492"/>
          </w:tcPr>
          <w:p>
            <w:pPr>
              <w:pStyle w:val="null3"/>
            </w:pPr>
            <w:r>
              <w:rPr>
                <w:rFonts w:ascii="仿宋_GB2312" w:hAnsi="仿宋_GB2312" w:cs="仿宋_GB2312" w:eastAsia="仿宋_GB2312"/>
              </w:rPr>
              <w:t>针对本项目的理解，内容包括但不限于①对本项目的背景、内容及意义理解②项目的重点内容分析③项目功能定位④项目内容全面认知等。方案内容详细完整、针对性强、可行性高，符合项目实际要求。 每项满分2分，缺项不得分，每项内容存在 缺陷，扣1分。缺陷是指内 容不合理、虽有内容但不完善、内容表述前后不一致、套用其他项目方案或与项目需求不匹配及其他不利于项目实施的任意一种情形。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针对本项目的实施方案，包括但不限于①设计深度与规范符合性②设计内容完整性③设计思路清晰性④需求匹配度⑤实施可行性⑥技术完整性等。方案内容详细完整、针对性强、可行性高，符合项目实际要求。 每项满分2分，缺项不得分 , 每项内容存在缺陷，扣1分。缺陷是指内容不合理、虽有内容但不完善、内容表述前后不一致、套用其他项目方案或与项目需求不匹配及其他不利于项目实施的任意一种情形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项目重难点分析</w:t>
            </w:r>
          </w:p>
        </w:tc>
        <w:tc>
          <w:tcPr>
            <w:tcW w:type="dxa" w:w="2492"/>
          </w:tcPr>
          <w:p>
            <w:pPr>
              <w:pStyle w:val="null3"/>
            </w:pPr>
            <w:r>
              <w:rPr>
                <w:rFonts w:ascii="仿宋_GB2312" w:hAnsi="仿宋_GB2312" w:cs="仿宋_GB2312" w:eastAsia="仿宋_GB2312"/>
              </w:rPr>
              <w:t>针对本项目的重难点分析，包括但不限于①重点难点识别全面性②应对措施针对性③技术衔接与兼容性问题④建议可行性等。方案内容详细完整、针对性强、可行性高，符合项目实际 要求。 每项满分2分，缺项不得分 , 每项内容存在缺陷，扣1分。缺陷是指内容不合理、虽有内容但不完善、内容表述前后不一致、套用其他项目方案或与项目需求不匹 配及其他不利于项目实施的任意一种情形。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设计质量控制的保证措施</w:t>
            </w:r>
          </w:p>
        </w:tc>
        <w:tc>
          <w:tcPr>
            <w:tcW w:type="dxa" w:w="2492"/>
          </w:tcPr>
          <w:p>
            <w:pPr>
              <w:pStyle w:val="null3"/>
            </w:pPr>
            <w:r>
              <w:rPr>
                <w:rFonts w:ascii="仿宋_GB2312" w:hAnsi="仿宋_GB2312" w:cs="仿宋_GB2312" w:eastAsia="仿宋_GB2312"/>
              </w:rPr>
              <w:t>针对本项目的设计质量控制的保证措施，包括但不限于①规范执行与标准落地②全流程质量管控机制③专业协同与技术复核④质量追溯与动态优化等。方案内容详细完整、针对性强、可行性高，符合项目实际 要求。 每项满分2分，缺项不得分 , 每项内容存在缺陷，扣1分。缺陷是指内容不合理、虽有内容但不完善、内容表述前后不一致、套用其他项目方案或与项目需求不匹 配及其他不利于项目实施的任意一种情形。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时间进度安排计划</w:t>
            </w:r>
          </w:p>
        </w:tc>
        <w:tc>
          <w:tcPr>
            <w:tcW w:type="dxa" w:w="2492"/>
          </w:tcPr>
          <w:p>
            <w:pPr>
              <w:pStyle w:val="null3"/>
            </w:pPr>
            <w:r>
              <w:rPr>
                <w:rFonts w:ascii="仿宋_GB2312" w:hAnsi="仿宋_GB2312" w:cs="仿宋_GB2312" w:eastAsia="仿宋_GB2312"/>
              </w:rPr>
              <w:t>针对本项目的设计时间进度安排计划，包括但不限于①阶段划分与关键节点②资源配置与进度保障③风险应对与动态调整④进度可视化与验收标准等。方案内容详细完整、针对性强、可行性高，符合项目实际 要求。 每项满分2分，缺项不得分 , 每项内容存在缺陷，扣1分。缺陷是指内容不合理、虽有内容但不完善、内容表述前后不一致、套用其他项目方案或与项目需求不匹 配及其他不利于项目实施的任意一种情形。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设计服务组织的保证措施</w:t>
            </w:r>
          </w:p>
        </w:tc>
        <w:tc>
          <w:tcPr>
            <w:tcW w:type="dxa" w:w="2492"/>
          </w:tcPr>
          <w:p>
            <w:pPr>
              <w:pStyle w:val="null3"/>
            </w:pPr>
            <w:r>
              <w:rPr>
                <w:rFonts w:ascii="仿宋_GB2312" w:hAnsi="仿宋_GB2312" w:cs="仿宋_GB2312" w:eastAsia="仿宋_GB2312"/>
              </w:rPr>
              <w:t>针对本项目的设计服务组织的保证措施，包括但不限于①团队架构与职责分工②沟通机制与流程规范③风险防控与应急响应④质量监督与持续改进等。方案内容详细完整、针对性强、可行性高，符合项目实际 要求。 每项满分2分，缺项不得分 , 每项内容存在缺陷，扣1分。缺陷是指内容不合理、虽有内容但不完善、内容表述前后不一致、套用其他项目方案或与项目需求不匹 配及其他不利于项目实施的任意一种情形。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项目设计成本控制措施</w:t>
            </w:r>
          </w:p>
        </w:tc>
        <w:tc>
          <w:tcPr>
            <w:tcW w:type="dxa" w:w="2492"/>
          </w:tcPr>
          <w:p>
            <w:pPr>
              <w:pStyle w:val="null3"/>
            </w:pPr>
            <w:r>
              <w:rPr>
                <w:rFonts w:ascii="仿宋_GB2312" w:hAnsi="仿宋_GB2312" w:cs="仿宋_GB2312" w:eastAsia="仿宋_GB2312"/>
              </w:rPr>
              <w:t>针对本项目的项目设计成本控制措施，包括但不限于①限额设计与目标分解②方案比选与技术经济论证③全流程成本管控节点④动态监控与偏差调整等。方案内容详细完整、针对性强、可行性高，符合项目实际 要求。 每项满分2分，缺项不得分 , 每项内容存在缺陷，扣1分。缺陷是指内容不合理、虽有内容但 不完善、内容表述前后不一致、套 用其他项目方案或与项目需求不匹 配及其他不利于项目实施的任意一种情形。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人员配备合理性</w:t>
            </w:r>
          </w:p>
        </w:tc>
        <w:tc>
          <w:tcPr>
            <w:tcW w:type="dxa" w:w="2492"/>
          </w:tcPr>
          <w:p>
            <w:pPr>
              <w:pStyle w:val="null3"/>
            </w:pPr>
            <w:r>
              <w:rPr>
                <w:rFonts w:ascii="仿宋_GB2312" w:hAnsi="仿宋_GB2312" w:cs="仿宋_GB2312" w:eastAsia="仿宋_GB2312"/>
              </w:rPr>
              <w:t>针对本项目的项目人员配备合理性，包括但不限于①人员结构完整②专业能力匹配③分工明确可落地④数量满足工期要求⑤到岗及保障机制等。方案内容详细完整、针对性强、可行性高，符合项目实际 要求。 每项满分2分，缺项不得分 , 每项内容存在缺陷，扣1分。缺陷是指内容不合理、虽有内容但 不完善、内容表述前后不一致、套 用其他项目方案或与项目需求不匹 配及其他不利于项目实施的任意一种情形。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针对本项目的项目服务承诺，包括但不限于①响应及时性保障②设计变更管理③后期服务跟进等。方案内容详细完整、针对性强、可行性高，符合项目实际 要求。 每项满分2分，缺项不得分 , 每项内容存在缺陷，扣1分。缺陷是指内容不合理、虽有内容但 不完善、内容表述前后不一致、套用其他项目方案或与项目需求不匹 配及其他不利于项目实施的任意一种情形。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供应商提供近三年至今具有类似项目业绩 ，每提供一份合同得3分，共计10分。（注：提供设计服务合同，时间以合同签订时间为准）。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满足招标文件要求且评审报价最低的报价为评标基准价，其价格分 为满分。其他供应商的价格分统一按照下列公式计算： 投标报价得分=（评标基准价/投标报价）×15。</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