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版本号：SXKK2026-CS-004.1.2B120260423001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三原县全民所有自然资源资产清查三原县城区和镇区范围确定项目(二次)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SXKK2026-CS-004.1.2B1</w:t>
      </w:r>
      <w:r>
        <w:br/>
      </w:r>
      <w:r>
        <w:br/>
      </w:r>
      <w:r>
        <w:br/>
      </w:r>
    </w:p>
    <w:p>
      <w:pPr>
        <w:pStyle w:val="null3"/>
        <w:jc w:val="center"/>
        <w:outlineLvl w:val="2"/>
      </w:pPr>
      <w:r>
        <w:rPr>
          <w:rFonts w:ascii="仿宋_GB2312" w:hAnsi="仿宋_GB2312" w:cs="仿宋_GB2312" w:eastAsia="仿宋_GB2312"/>
          <w:sz w:val="28"/>
          <w:b/>
        </w:rPr>
        <w:t>三原县自然资源局</w:t>
      </w:r>
    </w:p>
    <w:p>
      <w:pPr>
        <w:pStyle w:val="null3"/>
        <w:jc w:val="center"/>
        <w:outlineLvl w:val="2"/>
      </w:pPr>
      <w:r>
        <w:rPr>
          <w:rFonts w:ascii="仿宋_GB2312" w:hAnsi="仿宋_GB2312" w:cs="仿宋_GB2312" w:eastAsia="仿宋_GB2312"/>
          <w:sz w:val="28"/>
          <w:b/>
        </w:rPr>
        <w:t>陕西夸克工程造价咨询有限公司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陕西夸克工程造价咨询有限公司</w:t>
      </w:r>
      <w:r>
        <w:rPr>
          <w:rFonts w:ascii="仿宋_GB2312" w:hAnsi="仿宋_GB2312" w:cs="仿宋_GB2312" w:eastAsia="仿宋_GB2312"/>
        </w:rPr>
        <w:t>（以下简称“代理机构”）受</w:t>
      </w:r>
      <w:r>
        <w:rPr>
          <w:rFonts w:ascii="仿宋_GB2312" w:hAnsi="仿宋_GB2312" w:cs="仿宋_GB2312" w:eastAsia="仿宋_GB2312"/>
        </w:rPr>
        <w:t>三原县自然资源局</w:t>
      </w:r>
      <w:r>
        <w:rPr>
          <w:rFonts w:ascii="仿宋_GB2312" w:hAnsi="仿宋_GB2312" w:cs="仿宋_GB2312" w:eastAsia="仿宋_GB2312"/>
        </w:rPr>
        <w:t>委托，拟对</w:t>
      </w:r>
      <w:r>
        <w:rPr>
          <w:rFonts w:ascii="仿宋_GB2312" w:hAnsi="仿宋_GB2312" w:cs="仿宋_GB2312" w:eastAsia="仿宋_GB2312"/>
        </w:rPr>
        <w:t>三原县全民所有自然资源资产清查三原县城区和镇区范围确定项目(二次)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SXKK2026-CS-004.1.2B1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三原县全民所有自然资源资产清查三原县城区和镇区范围确定项目(二次)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三原县全民所有自然资源资产清查是系统开展县域内自然资源资产的全面调查与评估。具体包括：更新和完善资产清查价格体系、实物量清查与价值量核算、使用权清查、开展城镇开发边界内集体所有土地、森林、草原、湿地等资源资产实物量清查、成果的核查与质检和数据库建立等工作任务。三原县城区和镇区范围确定编制项目，具体包括：基于2021年度变更调查成果，确定三原县镇区范围及2021年度镇区实体地域范围，并根据2022、2023、2024年国土变更调查成果，确定对应年度的镇区实体地域范围。</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采购包1（三原县全民所有自然资源资产清查项目）：属于专门面向中小企业采购。</w:t>
      </w:r>
    </w:p>
    <w:p>
      <w:pPr>
        <w:pStyle w:val="null3"/>
      </w:pPr>
      <w:r>
        <w:rPr>
          <w:rFonts w:ascii="仿宋_GB2312" w:hAnsi="仿宋_GB2312" w:cs="仿宋_GB2312" w:eastAsia="仿宋_GB2312"/>
        </w:rPr>
        <w:t>采购包2（三原县城区和镇区范围确定编制项目）：属于专门面向中小企业采购。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1、响应主体：有独立承担民事责任能力的法人、其他组织或自然人，营业执照、税务登记证、组织机构代码证（多证合一只提供营业执照，事业单位提供事业单位法人证书，自然人提供本人身份证）合法有效；</w:t>
      </w:r>
    </w:p>
    <w:p>
      <w:pPr>
        <w:pStyle w:val="null3"/>
      </w:pPr>
      <w:r>
        <w:rPr>
          <w:rFonts w:ascii="仿宋_GB2312" w:hAnsi="仿宋_GB2312" w:cs="仿宋_GB2312" w:eastAsia="仿宋_GB2312"/>
        </w:rPr>
        <w:t>2、法定代表人授权委托书：提供法定代表人授权委托书及委托代理人有效身份证原件，法定代表人直接参加开标会议，需提供法定代表人身份证明及其有效的身份证原件；</w:t>
      </w:r>
    </w:p>
    <w:p>
      <w:pPr>
        <w:pStyle w:val="null3"/>
      </w:pPr>
      <w:r>
        <w:rPr>
          <w:rFonts w:ascii="仿宋_GB2312" w:hAnsi="仿宋_GB2312" w:cs="仿宋_GB2312" w:eastAsia="仿宋_GB2312"/>
        </w:rPr>
        <w:t>3、财务状况报告：提供2024年度或2025年度的财务报表或具有财务审计资质的单位出具的财务报告（至少包括资产负债表和利润表，成立时间至提交响应文件截止时间不足一年的可提供成立后任意时段的资产负债表），或银行出具的资信证明；</w:t>
      </w:r>
    </w:p>
    <w:p>
      <w:pPr>
        <w:pStyle w:val="null3"/>
      </w:pPr>
      <w:r>
        <w:rPr>
          <w:rFonts w:ascii="仿宋_GB2312" w:hAnsi="仿宋_GB2312" w:cs="仿宋_GB2312" w:eastAsia="仿宋_GB2312"/>
        </w:rPr>
        <w:t>4、税收缴纳证明：提供开标截止时间前半年内至少一个月的纳税证明或完税证明；依法免税的单位应提供相关证明材料；</w:t>
      </w:r>
    </w:p>
    <w:p>
      <w:pPr>
        <w:pStyle w:val="null3"/>
      </w:pPr>
      <w:r>
        <w:rPr>
          <w:rFonts w:ascii="仿宋_GB2312" w:hAnsi="仿宋_GB2312" w:cs="仿宋_GB2312" w:eastAsia="仿宋_GB2312"/>
        </w:rPr>
        <w:t>5、社会保障资金缴纳证明：提供开标截止时间前半年内至少一个月的社保机构开具的社会保险参保缴费情况证明；依法不需要缴纳社会保障资金的单位应提供相关证明材料；</w:t>
      </w:r>
    </w:p>
    <w:p>
      <w:pPr>
        <w:pStyle w:val="null3"/>
      </w:pPr>
      <w:r>
        <w:rPr>
          <w:rFonts w:ascii="仿宋_GB2312" w:hAnsi="仿宋_GB2312" w:cs="仿宋_GB2312" w:eastAsia="仿宋_GB2312"/>
        </w:rPr>
        <w:t>6、信用中国：供应商不得为“信用中国”网站（www.creditchina.gov.cn）中被列入“重大税收违法失信主体”的供应商,不得为“中国执行信息公开网”网站（zxgk.court.gov.cn/）中被列入“失信被执行人”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7、没有重大违法记录的书面声明：参加政府采购活动前3年内在经营活动中没有重大违法记录的书面声明</w:t>
      </w:r>
    </w:p>
    <w:p>
      <w:pPr>
        <w:pStyle w:val="null3"/>
      </w:pPr>
      <w:r>
        <w:rPr>
          <w:rFonts w:ascii="仿宋_GB2312" w:hAnsi="仿宋_GB2312" w:cs="仿宋_GB2312" w:eastAsia="仿宋_GB2312"/>
        </w:rPr>
        <w:t>8、非联合体声明：本项目不接受联合体投标，提供非联合体投标声明。</w:t>
      </w:r>
    </w:p>
    <w:p>
      <w:pPr>
        <w:pStyle w:val="null3"/>
      </w:pPr>
      <w:r>
        <w:rPr>
          <w:rFonts w:ascii="仿宋_GB2312" w:hAnsi="仿宋_GB2312" w:cs="仿宋_GB2312" w:eastAsia="仿宋_GB2312"/>
        </w:rPr>
        <w:t>9、资格条件：具有测绘行政主管部门颁发的测绘乙级或以上资质</w:t>
      </w:r>
    </w:p>
    <w:p>
      <w:pPr>
        <w:pStyle w:val="null3"/>
      </w:pPr>
      <w:r>
        <w:rPr>
          <w:rFonts w:ascii="仿宋_GB2312" w:hAnsi="仿宋_GB2312" w:cs="仿宋_GB2312" w:eastAsia="仿宋_GB2312"/>
        </w:rPr>
        <w:t>10、项目负责人：项目负责人具有相关专业中级及以上职称；</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1、响应主体：有独立承担民事责任能力的法人、其他组织或自然人，营业执照、税务登记证、组织机构代码证（多证合一只提供营业执照，事业单位提供事业单位法人证书，自然人提供本人身份证）合法有效；</w:t>
      </w:r>
    </w:p>
    <w:p>
      <w:pPr>
        <w:pStyle w:val="null3"/>
      </w:pPr>
      <w:r>
        <w:rPr>
          <w:rFonts w:ascii="仿宋_GB2312" w:hAnsi="仿宋_GB2312" w:cs="仿宋_GB2312" w:eastAsia="仿宋_GB2312"/>
        </w:rPr>
        <w:t>2、法定代表人授权委托书：提供法定代表人授权委托书及委托代理人有效身份证原件，法定代表人直接参加开标会议，需提供法定代表人身份证明及其有效的身份证原件；</w:t>
      </w:r>
    </w:p>
    <w:p>
      <w:pPr>
        <w:pStyle w:val="null3"/>
      </w:pPr>
      <w:r>
        <w:rPr>
          <w:rFonts w:ascii="仿宋_GB2312" w:hAnsi="仿宋_GB2312" w:cs="仿宋_GB2312" w:eastAsia="仿宋_GB2312"/>
        </w:rPr>
        <w:t>3、财务状况报告：提供2024年度或2025年度的财务报表或具有财务审计资质的单位出具的财务报告（至少包括资产负债表和利润表，成立时间至提交响应文件截止时间不足一年的可提供成立后任意时段的资产负债表），或银行出具的资信证明；</w:t>
      </w:r>
    </w:p>
    <w:p>
      <w:pPr>
        <w:pStyle w:val="null3"/>
      </w:pPr>
      <w:r>
        <w:rPr>
          <w:rFonts w:ascii="仿宋_GB2312" w:hAnsi="仿宋_GB2312" w:cs="仿宋_GB2312" w:eastAsia="仿宋_GB2312"/>
        </w:rPr>
        <w:t>4、税收缴纳证明：提供开标截止时间前半年内至少一个月的纳税证明或完税证明；依法免税的单位应提供相关证明材料；</w:t>
      </w:r>
    </w:p>
    <w:p>
      <w:pPr>
        <w:pStyle w:val="null3"/>
      </w:pPr>
      <w:r>
        <w:rPr>
          <w:rFonts w:ascii="仿宋_GB2312" w:hAnsi="仿宋_GB2312" w:cs="仿宋_GB2312" w:eastAsia="仿宋_GB2312"/>
        </w:rPr>
        <w:t>5、社会保障资金缴纳证明：提供开标截止时间前半年内至少一个月的社保机构开具的社会保险参保缴费情况证明；依法不需要缴纳社会保障资金的单位应提供相关证明材料；</w:t>
      </w:r>
    </w:p>
    <w:p>
      <w:pPr>
        <w:pStyle w:val="null3"/>
      </w:pPr>
      <w:r>
        <w:rPr>
          <w:rFonts w:ascii="仿宋_GB2312" w:hAnsi="仿宋_GB2312" w:cs="仿宋_GB2312" w:eastAsia="仿宋_GB2312"/>
        </w:rPr>
        <w:t>6、信用中国：供应商不得为“信用中国”网站（www.creditchina.gov.cn）中被列入“重大税收违法失信主体”的供应商,不得为“中国执行信息公开网”网站（zxgk.court.gov.cn/）中被列入“失信被执行人”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7、没有重大违法记录的书面声明：参加政府采购活动前3年内在经营活动中没有重大违法记录的书面声明</w:t>
      </w:r>
    </w:p>
    <w:p>
      <w:pPr>
        <w:pStyle w:val="null3"/>
      </w:pPr>
      <w:r>
        <w:rPr>
          <w:rFonts w:ascii="仿宋_GB2312" w:hAnsi="仿宋_GB2312" w:cs="仿宋_GB2312" w:eastAsia="仿宋_GB2312"/>
        </w:rPr>
        <w:t>8、非联合体声明：本项目不接受联合体投标，提供非联合体投标声明。</w:t>
      </w:r>
    </w:p>
    <w:p>
      <w:pPr>
        <w:pStyle w:val="null3"/>
      </w:pPr>
      <w:r>
        <w:rPr>
          <w:rFonts w:ascii="仿宋_GB2312" w:hAnsi="仿宋_GB2312" w:cs="仿宋_GB2312" w:eastAsia="仿宋_GB2312"/>
        </w:rPr>
        <w:t>9、供应商资质：供应商须具备行政主管部门颁发的城乡规划（国土空间规划）编制乙级及以上资质证书，且在有效期内。</w:t>
      </w:r>
    </w:p>
    <w:p>
      <w:pPr>
        <w:pStyle w:val="null3"/>
      </w:pPr>
      <w:r>
        <w:rPr>
          <w:rFonts w:ascii="仿宋_GB2312" w:hAnsi="仿宋_GB2312" w:cs="仿宋_GB2312" w:eastAsia="仿宋_GB2312"/>
        </w:rPr>
        <w:t>10、项目负责人：项目负责人须具备相关专业中级及以上职称。</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三原县自然资源局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陕西省咸阳市三原县政府大院内西北角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三原县自然资源局</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15877619722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陕西夸克工程造价咨询有限公司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陕西省西安市未央区萧家北巷文景尚品12楼1218室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邬女士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13325304067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三原县政府采购管理股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席先生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029-32268653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采购包1：1,238,300.00元</w:t>
            </w:r>
          </w:p>
          <w:p>
            <w:pPr>
              <w:pStyle w:val="null3"/>
            </w:pPr>
            <w:r>
              <w:rPr>
                <w:rFonts w:ascii="仿宋_GB2312" w:hAnsi="仿宋_GB2312" w:cs="仿宋_GB2312" w:eastAsia="仿宋_GB2312"/>
              </w:rPr>
              <w:t>采购包2：320,000.00元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考《国家计委关于印发&lt;招标代理服务收费管理暂行办法&gt;的通知》（计价格[2002]1980号）和《关于招标代理服务收费有关问题的通知》（发改办价格『2003』857号）规定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三原县自然资源局</w:t>
      </w:r>
      <w:r>
        <w:rPr>
          <w:rFonts w:ascii="仿宋_GB2312" w:hAnsi="仿宋_GB2312" w:cs="仿宋_GB2312" w:eastAsia="仿宋_GB2312"/>
        </w:rPr>
        <w:t>和</w:t>
      </w:r>
      <w:r>
        <w:rPr>
          <w:rFonts w:ascii="仿宋_GB2312" w:hAnsi="仿宋_GB2312" w:cs="仿宋_GB2312" w:eastAsia="仿宋_GB2312"/>
        </w:rPr>
        <w:t>陕西夸克工程造价咨询有限公司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三原县自然资源局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陕西夸克工程造价咨询有限公司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三原县自然资源局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陕西夸克工程造价咨询有限公司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符合《陕西省自然资源厅关于印发《陕西省全民所有自然资源资产清查实施方案》的通知》（陕自然资发〔2024〕1247 号）、 《全民所有自然资源资产清查技术指南》、符合项目合同条款，按时保质保量提交合同约定的内容。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本项目履约验收以采购文件及合同约定为依据，按要求完成全部服务内容，成果符合技术标准与规范，按期交付、质量达标，人员履约到位、全程配合响应，落实数据保密及后续服务承诺，无违约情形，满足项目实施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陕西夸克工程造价咨询有限公司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陕西夸克工程造价咨询有限公司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陕西夸克工程造价咨询有限公司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联系人：邬女士</w:t>
      </w:r>
    </w:p>
    <w:p>
      <w:pPr>
        <w:pStyle w:val="null3"/>
      </w:pPr>
      <w:r>
        <w:rPr>
          <w:rFonts w:ascii="仿宋_GB2312" w:hAnsi="仿宋_GB2312" w:cs="仿宋_GB2312" w:eastAsia="仿宋_GB2312"/>
        </w:rPr>
        <w:t>联系电话：13325304067</w:t>
      </w:r>
    </w:p>
    <w:p>
      <w:pPr>
        <w:pStyle w:val="null3"/>
      </w:pPr>
      <w:r>
        <w:rPr>
          <w:rFonts w:ascii="仿宋_GB2312" w:hAnsi="仿宋_GB2312" w:cs="仿宋_GB2312" w:eastAsia="仿宋_GB2312"/>
        </w:rPr>
        <w:t>地址：陕西省西安市未央区萧家北巷文景尚品 12 楼 1218 室</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三原县全民所有自然资源资产清查是系统开展县域内自然资源资产的全面调查与评估。具体包括：更新和完善资产清查价格体系、实物量清查与价值量核算、使用权清查、开展城镇开发边界内集体所有土地、森林、草原、湿地等资源资产实物量清查、成果的核查与质检和数据库建立等工作任务。三原县城区和镇区范围确定编制项目，具体包括：基于2021年度变更调查成果，确定三原县镇区范围及2021年度镇区实体地域范围，并根据2022、2023、2024年国土变更调查成果，确定对应年度的镇区实体地域范围。</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1,238,300.00</w:t>
      </w:r>
    </w:p>
    <w:p>
      <w:pPr>
        <w:pStyle w:val="null3"/>
      </w:pPr>
      <w:r>
        <w:rPr>
          <w:rFonts w:ascii="仿宋_GB2312" w:hAnsi="仿宋_GB2312" w:cs="仿宋_GB2312" w:eastAsia="仿宋_GB2312"/>
        </w:rPr>
        <w:t>采购包最高限价（元）: 1,238,300.00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三原县全民所有自然资源资产清查项目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1,238,300.00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320,000.00</w:t>
      </w:r>
    </w:p>
    <w:p>
      <w:pPr>
        <w:pStyle w:val="null3"/>
      </w:pPr>
      <w:r>
        <w:rPr>
          <w:rFonts w:ascii="仿宋_GB2312" w:hAnsi="仿宋_GB2312" w:cs="仿宋_GB2312" w:eastAsia="仿宋_GB2312"/>
        </w:rPr>
        <w:t>采购包最高限价（元）: 320,000.00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三原县城区和镇区范围确定编制项目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320,000.00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标的名称：三原县全民所有自然资源资产清查项目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outlineLvl w:val="1"/>
            </w:pPr>
            <w:r>
              <w:rPr>
                <w:rFonts w:ascii="仿宋_GB2312" w:hAnsi="仿宋_GB2312" w:cs="仿宋_GB2312" w:eastAsia="仿宋_GB2312"/>
                <w:sz w:val="21"/>
                <w:b/>
                <w:color w:val="000000"/>
              </w:rPr>
              <w:t>一、总体技术要求</w:t>
            </w:r>
          </w:p>
          <w:p>
            <w:pPr>
              <w:pStyle w:val="null3"/>
              <w:jc w:val="left"/>
              <w:outlineLvl w:val="1"/>
            </w:pPr>
            <w:r>
              <w:rPr>
                <w:rFonts w:ascii="仿宋_GB2312" w:hAnsi="仿宋_GB2312" w:cs="仿宋_GB2312" w:eastAsia="仿宋_GB2312"/>
                <w:sz w:val="21"/>
                <w:b/>
                <w:color w:val="000000"/>
              </w:rPr>
              <w:t>1、</w:t>
            </w:r>
            <w:r>
              <w:rPr>
                <w:rFonts w:ascii="仿宋_GB2312" w:hAnsi="仿宋_GB2312" w:cs="仿宋_GB2312" w:eastAsia="仿宋_GB2312"/>
                <w:sz w:val="21"/>
                <w:b/>
                <w:color w:val="000000"/>
              </w:rPr>
              <w:t>清查工作需以三原县现有自然资源调查监测、森林草原湿地荒漠化普查、确权登记、土地市场监测监管、自然资源分等定级估价、地籍调查等法定成果为基础，实现数据无缝衔接、成果有机融合，不得与已有法定成果相冲突。</w:t>
            </w:r>
          </w:p>
          <w:p>
            <w:pPr>
              <w:pStyle w:val="null3"/>
              <w:jc w:val="left"/>
              <w:outlineLvl w:val="1"/>
            </w:pPr>
            <w:r>
              <w:rPr>
                <w:rFonts w:ascii="仿宋_GB2312" w:hAnsi="仿宋_GB2312" w:cs="仿宋_GB2312" w:eastAsia="仿宋_GB2312"/>
                <w:sz w:val="21"/>
                <w:b/>
                <w:color w:val="000000"/>
              </w:rPr>
              <w:t>2、</w:t>
            </w:r>
            <w:r>
              <w:rPr>
                <w:rFonts w:ascii="仿宋_GB2312" w:hAnsi="仿宋_GB2312" w:cs="仿宋_GB2312" w:eastAsia="仿宋_GB2312"/>
                <w:sz w:val="21"/>
                <w:b/>
                <w:color w:val="000000"/>
              </w:rPr>
              <w:t>建立的清查数据库需符合国家、陕西省自然资源领域数据库建设统一标准，具备数据录入、查询、统计、分析、更新、共享等基础功能，且能与上级自然资源主管部门数据库实现对接兼容。</w:t>
            </w:r>
          </w:p>
          <w:p>
            <w:pPr>
              <w:pStyle w:val="null3"/>
              <w:jc w:val="left"/>
              <w:outlineLvl w:val="1"/>
            </w:pPr>
            <w:r>
              <w:rPr>
                <w:rFonts w:ascii="仿宋_GB2312" w:hAnsi="仿宋_GB2312" w:cs="仿宋_GB2312" w:eastAsia="仿宋_GB2312"/>
                <w:sz w:val="21"/>
                <w:b/>
                <w:color w:val="000000"/>
              </w:rPr>
              <w:t>3、形成的资产</w:t>
            </w:r>
            <w:r>
              <w:rPr>
                <w:rFonts w:ascii="仿宋_GB2312" w:hAnsi="仿宋_GB2312" w:cs="仿宋_GB2312" w:eastAsia="仿宋_GB2312"/>
                <w:sz w:val="21"/>
                <w:b/>
                <w:color w:val="000000"/>
              </w:rPr>
              <w:t>“一张图” 需整合实物量图层、价值量图层、产权图层等核心要素，图层精度符合对应资源类型的国家级调查规范，图层间空间拓扑关系正确，属性信息完整关联、一一对应。</w:t>
            </w:r>
          </w:p>
          <w:p>
            <w:pPr>
              <w:pStyle w:val="null3"/>
              <w:jc w:val="left"/>
              <w:outlineLvl w:val="1"/>
            </w:pPr>
            <w:r>
              <w:rPr>
                <w:rFonts w:ascii="仿宋_GB2312" w:hAnsi="仿宋_GB2312" w:cs="仿宋_GB2312" w:eastAsia="仿宋_GB2312"/>
                <w:sz w:val="21"/>
                <w:b/>
                <w:color w:val="000000"/>
              </w:rPr>
              <w:t>4、</w:t>
            </w:r>
            <w:r>
              <w:rPr>
                <w:rFonts w:ascii="仿宋_GB2312" w:hAnsi="仿宋_GB2312" w:cs="仿宋_GB2312" w:eastAsia="仿宋_GB2312"/>
                <w:sz w:val="21"/>
                <w:b/>
                <w:color w:val="000000"/>
              </w:rPr>
              <w:t>所有清查成果需经过内业核查、外业抽检、质量检验等多环节全流程质检，整体成果合格率、关键指标（权属、数量、面积）准确率需满足国家及省级清查技术规范要求。</w:t>
            </w:r>
          </w:p>
          <w:p>
            <w:pPr>
              <w:pStyle w:val="null3"/>
              <w:jc w:val="left"/>
              <w:outlineLvl w:val="1"/>
            </w:pPr>
            <w:r>
              <w:rPr>
                <w:rFonts w:ascii="仿宋_GB2312" w:hAnsi="仿宋_GB2312" w:cs="仿宋_GB2312" w:eastAsia="仿宋_GB2312"/>
                <w:sz w:val="21"/>
                <w:b/>
                <w:color w:val="000000"/>
              </w:rPr>
              <w:t>5、</w:t>
            </w:r>
            <w:r>
              <w:rPr>
                <w:rFonts w:ascii="仿宋_GB2312" w:hAnsi="仿宋_GB2312" w:cs="仿宋_GB2312" w:eastAsia="仿宋_GB2312"/>
                <w:sz w:val="21"/>
                <w:b/>
                <w:color w:val="000000"/>
              </w:rPr>
              <w:t>项目实施全过程遵循分级负责、统筹协同、规范有序、保障到位的核心原则，严格执行国家及陕西省关于全民所有自然资源资产清查的技术规范、标准及作业流程。</w:t>
            </w:r>
          </w:p>
          <w:p>
            <w:pPr>
              <w:pStyle w:val="null3"/>
            </w:pPr>
            <w:r>
              <w:rPr>
                <w:rFonts w:ascii="仿宋_GB2312" w:hAnsi="仿宋_GB2312" w:cs="仿宋_GB2312" w:eastAsia="仿宋_GB2312"/>
                <w:sz w:val="21"/>
                <w:color w:val="000000"/>
              </w:rPr>
              <w:t xml:space="preserve">  6、清查</w:t>
            </w:r>
            <w:r>
              <w:rPr>
                <w:rFonts w:ascii="仿宋_GB2312" w:hAnsi="仿宋_GB2312" w:cs="仿宋_GB2312" w:eastAsia="仿宋_GB2312"/>
                <w:sz w:val="21"/>
                <w:color w:val="000000"/>
              </w:rPr>
              <w:t>成果需实现图、数、台账三者一致，确保成果的真实性、完整性、规范性和可追溯性。</w:t>
            </w:r>
          </w:p>
          <w:p>
            <w:pPr>
              <w:pStyle w:val="null3"/>
              <w:jc w:val="left"/>
              <w:outlineLvl w:val="1"/>
            </w:pPr>
            <w:r>
              <w:rPr>
                <w:rFonts w:ascii="仿宋_GB2312" w:hAnsi="仿宋_GB2312" w:cs="仿宋_GB2312" w:eastAsia="仿宋_GB2312"/>
                <w:sz w:val="21"/>
                <w:b/>
                <w:color w:val="000000"/>
              </w:rPr>
              <w:t>二、各清查模块技术参数与性能指标</w:t>
            </w:r>
          </w:p>
          <w:p>
            <w:pPr>
              <w:pStyle w:val="null3"/>
              <w:jc w:val="left"/>
              <w:outlineLvl w:val="2"/>
            </w:pPr>
            <w:r>
              <w:rPr>
                <w:rFonts w:ascii="仿宋_GB2312" w:hAnsi="仿宋_GB2312" w:cs="仿宋_GB2312" w:eastAsia="仿宋_GB2312"/>
                <w:sz w:val="21"/>
                <w:b/>
                <w:color w:val="000000"/>
              </w:rPr>
              <w:t>（一）资产清查价格体系更新与完善</w:t>
            </w:r>
          </w:p>
          <w:p>
            <w:pPr>
              <w:pStyle w:val="null3"/>
              <w:numPr>
                <w:ilvl w:val="0"/>
                <w:numId w:val="1"/>
              </w:numPr>
              <w:jc w:val="left"/>
            </w:pPr>
            <w:r>
              <w:rPr>
                <w:rFonts w:ascii="仿宋_GB2312" w:hAnsi="仿宋_GB2312" w:cs="仿宋_GB2312" w:eastAsia="仿宋_GB2312"/>
                <w:sz w:val="21"/>
                <w:color w:val="000000"/>
              </w:rPr>
              <w:t>价格体系需全面覆盖三原县县域内土地、矿产、森林、草原、湿地、水资源等全民所有自然资源类型，并按资源亚类、利用类型进行细分，无覆盖盲区。</w:t>
            </w:r>
          </w:p>
          <w:p>
            <w:pPr>
              <w:pStyle w:val="null3"/>
              <w:numPr>
                <w:ilvl w:val="0"/>
                <w:numId w:val="1"/>
              </w:numPr>
              <w:jc w:val="left"/>
            </w:pPr>
            <w:r>
              <w:rPr>
                <w:rFonts w:ascii="仿宋_GB2312" w:hAnsi="仿宋_GB2312" w:cs="仿宋_GB2312" w:eastAsia="仿宋_GB2312"/>
                <w:sz w:val="21"/>
                <w:color w:val="000000"/>
              </w:rPr>
              <w:t>价格测算需结合三原县本地市场交易数据、资源禀赋条件、资源利用效益、区域经济发展水平等核心因素，采用市场比较法、收益还原法、成本逼近法等法定估价方法开展，测算结果需经过科学合理性验证。</w:t>
            </w:r>
          </w:p>
          <w:p>
            <w:pPr>
              <w:pStyle w:val="null3"/>
              <w:numPr>
                <w:ilvl w:val="0"/>
                <w:numId w:val="1"/>
              </w:numPr>
              <w:jc w:val="left"/>
            </w:pPr>
            <w:r>
              <w:rPr>
                <w:rFonts w:ascii="仿宋_GB2312" w:hAnsi="仿宋_GB2312" w:cs="仿宋_GB2312" w:eastAsia="仿宋_GB2312"/>
                <w:sz w:val="21"/>
                <w:color w:val="000000"/>
              </w:rPr>
              <w:t>价格体系需形成标准化正式文档，明确测算依据、测算过程、价格成果、适用范围、更新原则等核心内容，可直接支撑后续价值量核算工作，价格成果精度符合自然资源分等定级估价相关国家级标准。</w:t>
            </w:r>
          </w:p>
          <w:p>
            <w:pPr>
              <w:pStyle w:val="null3"/>
              <w:numPr>
                <w:ilvl w:val="0"/>
                <w:numId w:val="1"/>
              </w:numPr>
              <w:jc w:val="left"/>
            </w:pPr>
            <w:r>
              <w:rPr>
                <w:rFonts w:ascii="仿宋_GB2312" w:hAnsi="仿宋_GB2312" w:cs="仿宋_GB2312" w:eastAsia="仿宋_GB2312"/>
                <w:sz w:val="21"/>
                <w:color w:val="000000"/>
              </w:rPr>
              <w:t>价格体系需与陕西省自然资源资产价格体系无缝衔接，满足省级层面成果汇总、审核的统一要求。</w:t>
            </w:r>
          </w:p>
          <w:p>
            <w:pPr>
              <w:pStyle w:val="null3"/>
              <w:jc w:val="left"/>
              <w:outlineLvl w:val="2"/>
            </w:pPr>
            <w:r>
              <w:rPr>
                <w:rFonts w:ascii="仿宋_GB2312" w:hAnsi="仿宋_GB2312" w:cs="仿宋_GB2312" w:eastAsia="仿宋_GB2312"/>
                <w:sz w:val="21"/>
                <w:b/>
                <w:color w:val="000000"/>
              </w:rPr>
              <w:t>（二）实物量清查</w:t>
            </w:r>
          </w:p>
          <w:p>
            <w:pPr>
              <w:pStyle w:val="null3"/>
              <w:jc w:val="left"/>
              <w:outlineLvl w:val="3"/>
            </w:pPr>
            <w:r>
              <w:rPr>
                <w:rFonts w:ascii="仿宋_GB2312" w:hAnsi="仿宋_GB2312" w:cs="仿宋_GB2312" w:eastAsia="仿宋_GB2312"/>
                <w:sz w:val="21"/>
                <w:b/>
                <w:color w:val="000000"/>
              </w:rPr>
              <w:t>1. 土地资源</w:t>
            </w:r>
            <w:r>
              <w:rPr>
                <w:rFonts w:ascii="仿宋_GB2312" w:hAnsi="仿宋_GB2312" w:cs="仿宋_GB2312" w:eastAsia="仿宋_GB2312"/>
                <w:sz w:val="21"/>
                <w:color w:val="000000"/>
              </w:rPr>
              <w:t>清查范围：三原县县域内全部全民所有土地类型，含耕地、林地、草地、湿地、城镇国有建设用地、工矿用地等，同时覆盖城镇开发边界内集体所有土地相关清查范围。</w:t>
            </w:r>
            <w:r>
              <w:rPr>
                <w:rFonts w:ascii="仿宋_GB2312" w:hAnsi="仿宋_GB2312" w:cs="仿宋_GB2312" w:eastAsia="仿宋_GB2312"/>
                <w:sz w:val="21"/>
                <w:color w:val="000000"/>
              </w:rPr>
              <w:t>清查精度：按城镇、农村不同区域执行对应国家级比例尺精度标准，土地利用现状分类严格执行《土地利用现状分类》国家标准，面积量算误差符合《地籍调查规程》要求。</w:t>
            </w:r>
            <w:r>
              <w:rPr>
                <w:rFonts w:ascii="仿宋_GB2312" w:hAnsi="仿宋_GB2312" w:cs="仿宋_GB2312" w:eastAsia="仿宋_GB2312"/>
                <w:sz w:val="21"/>
                <w:color w:val="000000"/>
              </w:rPr>
              <w:t>清查内容：查清土地的空间位置、权属性质、地类划分、面积规模、质量等级、实际利用现状、权属边界等核心信息，完成土地利用现状图件标准化更新，建立规范化土地实物量清查台账。</w:t>
            </w:r>
          </w:p>
          <w:p>
            <w:pPr>
              <w:pStyle w:val="null3"/>
              <w:jc w:val="left"/>
              <w:outlineLvl w:val="3"/>
            </w:pPr>
            <w:r>
              <w:rPr>
                <w:rFonts w:ascii="仿宋_GB2312" w:hAnsi="仿宋_GB2312" w:cs="仿宋_GB2312" w:eastAsia="仿宋_GB2312"/>
                <w:sz w:val="21"/>
                <w:b/>
                <w:color w:val="000000"/>
              </w:rPr>
              <w:t>2. 矿产资源</w:t>
            </w:r>
          </w:p>
          <w:p>
            <w:pPr>
              <w:pStyle w:val="null3"/>
              <w:ind w:left="-360"/>
              <w:jc w:val="left"/>
            </w:pPr>
            <w:r>
              <w:rPr>
                <w:rFonts w:ascii="仿宋_GB2312" w:hAnsi="仿宋_GB2312" w:cs="仿宋_GB2312" w:eastAsia="仿宋_GB2312"/>
                <w:sz w:val="21"/>
                <w:color w:val="000000"/>
              </w:rPr>
              <w:t xml:space="preserve">        清查范围：三原县县域内全民所有固体矿产、矿产资源储量矿区、探矿权 / 采矿权权属范围等全部矿产资源相关区域。</w:t>
            </w:r>
          </w:p>
          <w:p>
            <w:pPr>
              <w:pStyle w:val="null3"/>
              <w:jc w:val="left"/>
            </w:pPr>
            <w:r>
              <w:rPr>
                <w:rFonts w:ascii="仿宋_GB2312" w:hAnsi="仿宋_GB2312" w:cs="仿宋_GB2312" w:eastAsia="仿宋_GB2312"/>
                <w:sz w:val="21"/>
                <w:color w:val="000000"/>
              </w:rPr>
              <w:t>清查精度：矿产资源储量清查执行《固体矿产资源储量分类》国家标准，矿区范围勘测定界精度符合《矿产资源勘查区块登记管理办法》相关要求，资源储量数据误差满足国家级清查规范。</w:t>
            </w:r>
          </w:p>
          <w:p>
            <w:pPr>
              <w:pStyle w:val="null3"/>
              <w:jc w:val="left"/>
            </w:pPr>
            <w:r>
              <w:rPr>
                <w:rFonts w:ascii="仿宋_GB2312" w:hAnsi="仿宋_GB2312" w:cs="仿宋_GB2312" w:eastAsia="仿宋_GB2312"/>
                <w:sz w:val="21"/>
                <w:color w:val="000000"/>
              </w:rPr>
              <w:t>清查内容：查清矿产资源的矿种、储量规模、矿石品位、开采利用现状、权属关系、矿区边界范围、资源利用效率等信息，核实探矿权、采矿权设立及履行情况，建立标准化矿产资源实物量清查台账。</w:t>
            </w:r>
          </w:p>
          <w:p>
            <w:pPr>
              <w:pStyle w:val="null3"/>
              <w:jc w:val="left"/>
              <w:outlineLvl w:val="3"/>
            </w:pPr>
            <w:r>
              <w:rPr>
                <w:rFonts w:ascii="仿宋_GB2312" w:hAnsi="仿宋_GB2312" w:cs="仿宋_GB2312" w:eastAsia="仿宋_GB2312"/>
                <w:sz w:val="21"/>
                <w:b/>
                <w:color w:val="000000"/>
              </w:rPr>
              <w:t>3. 森林、草原、湿地资源</w:t>
            </w:r>
          </w:p>
          <w:p>
            <w:pPr>
              <w:pStyle w:val="null3"/>
              <w:ind w:left="-360"/>
              <w:jc w:val="left"/>
            </w:pPr>
            <w:r>
              <w:rPr>
                <w:rFonts w:ascii="仿宋_GB2312" w:hAnsi="仿宋_GB2312" w:cs="仿宋_GB2312" w:eastAsia="仿宋_GB2312"/>
                <w:sz w:val="21"/>
                <w:color w:val="000000"/>
              </w:rPr>
              <w:t>清查范围：三原县县域内全部全民所有森林、草原、湿地资源，含城镇开发边界内相关集体所有资源。</w:t>
            </w:r>
          </w:p>
          <w:p>
            <w:pPr>
              <w:pStyle w:val="null3"/>
              <w:ind w:left="-360"/>
              <w:jc w:val="left"/>
            </w:pPr>
            <w:r>
              <w:rPr>
                <w:rFonts w:ascii="仿宋_GB2312" w:hAnsi="仿宋_GB2312" w:cs="仿宋_GB2312" w:eastAsia="仿宋_GB2312"/>
                <w:sz w:val="21"/>
                <w:color w:val="000000"/>
              </w:rPr>
              <w:t>清查精度：森林资源清查执行《森林资源规划设计调查技术规程》国家标准，草原资源执行《草原资源调查技术规范》行业标准，湿地资源执行《湿地调查技术规程》行业标准，面积量算、蓄积量测算等误差均符合对应标准要求。</w:t>
            </w:r>
          </w:p>
          <w:p>
            <w:pPr>
              <w:pStyle w:val="null3"/>
              <w:ind w:left="-360"/>
              <w:jc w:val="left"/>
            </w:pPr>
            <w:r>
              <w:rPr>
                <w:rFonts w:ascii="仿宋_GB2312" w:hAnsi="仿宋_GB2312" w:cs="仿宋_GB2312" w:eastAsia="仿宋_GB2312"/>
                <w:sz w:val="21"/>
                <w:color w:val="000000"/>
              </w:rPr>
              <w:t>清查内容：查清森林的起源、林种、树种、胸径、树高、蓄积量、郁闭度，草原的类型、产草量、盖度，湿地的类型、面积、水文状况、生态状况等核心信息，核实权属及实际利用现状，分别建立规范化的森林、草原、湿地资源实物量清查台账。</w:t>
            </w:r>
          </w:p>
          <w:p>
            <w:pPr>
              <w:pStyle w:val="null3"/>
              <w:jc w:val="left"/>
              <w:outlineLvl w:val="3"/>
            </w:pPr>
            <w:r>
              <w:rPr>
                <w:rFonts w:ascii="仿宋_GB2312" w:hAnsi="仿宋_GB2312" w:cs="仿宋_GB2312" w:eastAsia="仿宋_GB2312"/>
                <w:sz w:val="21"/>
                <w:b/>
                <w:color w:val="000000"/>
              </w:rPr>
              <w:t>4. 水资源</w:t>
            </w:r>
          </w:p>
          <w:p>
            <w:pPr>
              <w:pStyle w:val="null3"/>
              <w:ind w:left="-360"/>
              <w:jc w:val="left"/>
            </w:pPr>
            <w:r>
              <w:rPr>
                <w:rFonts w:ascii="仿宋_GB2312" w:hAnsi="仿宋_GB2312" w:cs="仿宋_GB2312" w:eastAsia="仿宋_GB2312"/>
                <w:sz w:val="21"/>
                <w:color w:val="000000"/>
              </w:rPr>
              <w:t>清查范围：三原县县域内全民所有河流、湖泊、水库、地下水等全部水资源类型。</w:t>
            </w:r>
          </w:p>
          <w:p>
            <w:pPr>
              <w:pStyle w:val="null3"/>
              <w:ind w:left="-360"/>
              <w:jc w:val="left"/>
            </w:pPr>
            <w:r>
              <w:rPr>
                <w:rFonts w:ascii="仿宋_GB2312" w:hAnsi="仿宋_GB2312" w:cs="仿宋_GB2312" w:eastAsia="仿宋_GB2312"/>
                <w:sz w:val="21"/>
                <w:color w:val="000000"/>
              </w:rPr>
              <w:t>清查精度：严格执行《水资源调查评价规范》行业标准，水资源量测算精度符合县级水资源调查的国家级要求。</w:t>
            </w:r>
          </w:p>
          <w:p>
            <w:pPr>
              <w:pStyle w:val="null3"/>
              <w:ind w:left="-360"/>
              <w:jc w:val="left"/>
            </w:pPr>
            <w:r>
              <w:rPr>
                <w:rFonts w:ascii="仿宋_GB2312" w:hAnsi="仿宋_GB2312" w:cs="仿宋_GB2312" w:eastAsia="仿宋_GB2312"/>
                <w:sz w:val="21"/>
                <w:color w:val="000000"/>
              </w:rPr>
              <w:t>清查内容：查清水资源的数量规模、空间分布、水质等级、开发利用程度、取水权权属等核心信息，建立规范化水资源实物量清查台账。</w:t>
            </w:r>
          </w:p>
          <w:p>
            <w:pPr>
              <w:pStyle w:val="null3"/>
              <w:jc w:val="left"/>
              <w:outlineLvl w:val="3"/>
            </w:pPr>
            <w:r>
              <w:rPr>
                <w:rFonts w:ascii="仿宋_GB2312" w:hAnsi="仿宋_GB2312" w:cs="仿宋_GB2312" w:eastAsia="仿宋_GB2312"/>
                <w:sz w:val="21"/>
                <w:b/>
                <w:color w:val="000000"/>
              </w:rPr>
              <w:t>5. 使用权清查</w:t>
            </w:r>
          </w:p>
          <w:p>
            <w:pPr>
              <w:pStyle w:val="null3"/>
              <w:jc w:val="left"/>
            </w:pPr>
            <w:r>
              <w:rPr>
                <w:rFonts w:ascii="仿宋_GB2312" w:hAnsi="仿宋_GB2312" w:cs="仿宋_GB2312" w:eastAsia="仿宋_GB2312"/>
                <w:sz w:val="21"/>
                <w:color w:val="000000"/>
              </w:rPr>
              <w:t>清查范围：三原县县域内全民所有自然资源资产的使用权设立、变更、注销、存续状态等全部权属管理信息。</w:t>
            </w:r>
            <w:r>
              <w:rPr>
                <w:rFonts w:ascii="仿宋_GB2312" w:hAnsi="仿宋_GB2312" w:cs="仿宋_GB2312" w:eastAsia="仿宋_GB2312"/>
                <w:sz w:val="21"/>
                <w:color w:val="000000"/>
              </w:rPr>
              <w:t>清查精度：使用权权属信息与确权登记法定成果完全匹配，使用权范围与自然资源空间边界精准衔接，无权属重叠、漏登、错登问题。</w:t>
            </w:r>
            <w:r>
              <w:rPr>
                <w:rFonts w:ascii="仿宋_GB2312" w:hAnsi="仿宋_GB2312" w:cs="仿宋_GB2312" w:eastAsia="仿宋_GB2312"/>
                <w:sz w:val="21"/>
                <w:color w:val="000000"/>
              </w:rPr>
              <w:t>清查内容：查清使用权人、权属性质、使用期限、使用范围、使用方式、权利限制、履行情况等核心信息，核实使用权与自然资源实物量的一一对应关系，建立规范化使用权清查台账，梳理使用权管理中存在的问题并形成专业分析报告。</w:t>
            </w:r>
          </w:p>
          <w:p>
            <w:pPr>
              <w:pStyle w:val="null3"/>
              <w:jc w:val="left"/>
              <w:outlineLvl w:val="2"/>
            </w:pPr>
            <w:r>
              <w:rPr>
                <w:rFonts w:ascii="仿宋_GB2312" w:hAnsi="仿宋_GB2312" w:cs="仿宋_GB2312" w:eastAsia="仿宋_GB2312"/>
                <w:sz w:val="21"/>
                <w:b/>
                <w:color w:val="000000"/>
              </w:rPr>
              <w:t>（三）价值量核算</w:t>
            </w:r>
          </w:p>
          <w:p>
            <w:pPr>
              <w:pStyle w:val="null3"/>
              <w:numPr>
                <w:ilvl w:val="0"/>
                <w:numId w:val="1"/>
              </w:numPr>
              <w:jc w:val="left"/>
            </w:pPr>
            <w:r>
              <w:rPr>
                <w:rFonts w:ascii="仿宋_GB2312" w:hAnsi="仿宋_GB2312" w:cs="仿宋_GB2312" w:eastAsia="仿宋_GB2312"/>
                <w:sz w:val="21"/>
                <w:color w:val="000000"/>
              </w:rPr>
              <w:t>核算依据：以更新后的三原县自然资源资产价格体系为核心基础，结合实物量清查成果，严格执行《全民所有自然资源资产价值量核算技术指南》要求。</w:t>
            </w:r>
          </w:p>
          <w:p>
            <w:pPr>
              <w:pStyle w:val="null3"/>
              <w:numPr>
                <w:ilvl w:val="0"/>
                <w:numId w:val="1"/>
              </w:numPr>
              <w:jc w:val="left"/>
            </w:pPr>
            <w:r>
              <w:rPr>
                <w:rFonts w:ascii="仿宋_GB2312" w:hAnsi="仿宋_GB2312" w:cs="仿宋_GB2312" w:eastAsia="仿宋_GB2312"/>
                <w:sz w:val="21"/>
                <w:color w:val="000000"/>
              </w:rPr>
              <w:t>核算范围：与实物量清查范围完全一致，实现</w:t>
            </w:r>
            <w:r>
              <w:rPr>
                <w:rFonts w:ascii="仿宋_GB2312" w:hAnsi="仿宋_GB2312" w:cs="仿宋_GB2312" w:eastAsia="仿宋_GB2312"/>
                <w:sz w:val="21"/>
                <w:color w:val="000000"/>
              </w:rPr>
              <w:t>“一物一量一价” 的精准对应核算，无漏算、重算问题。</w:t>
            </w:r>
          </w:p>
          <w:p>
            <w:pPr>
              <w:pStyle w:val="null3"/>
              <w:numPr>
                <w:ilvl w:val="0"/>
                <w:numId w:val="1"/>
              </w:numPr>
              <w:jc w:val="left"/>
            </w:pPr>
            <w:r>
              <w:rPr>
                <w:rFonts w:ascii="仿宋_GB2312" w:hAnsi="仿宋_GB2312" w:cs="仿宋_GB2312" w:eastAsia="仿宋_GB2312"/>
                <w:sz w:val="21"/>
                <w:color w:val="000000"/>
              </w:rPr>
              <w:t>核算精度：价值量核算结果与实物量、价格体系数据逻辑一致，核算过程留痕、可追溯，核算误差满足国家级清查技术规范要求。</w:t>
            </w:r>
          </w:p>
          <w:p>
            <w:pPr>
              <w:pStyle w:val="null3"/>
              <w:numPr>
                <w:ilvl w:val="0"/>
                <w:numId w:val="1"/>
              </w:numPr>
              <w:jc w:val="left"/>
            </w:pPr>
            <w:r>
              <w:rPr>
                <w:rFonts w:ascii="仿宋_GB2312" w:hAnsi="仿宋_GB2312" w:cs="仿宋_GB2312" w:eastAsia="仿宋_GB2312"/>
                <w:sz w:val="21"/>
                <w:color w:val="000000"/>
              </w:rPr>
              <w:t>成果要求：形成分资源类型、分行政区域的价值量核算台账，编制专业价值量核算分析报告，明确全民所有自然资源资产总价值、各类型资源价值占比、价值空间分布特征等核心内容。</w:t>
            </w:r>
          </w:p>
          <w:p>
            <w:pPr>
              <w:pStyle w:val="null3"/>
              <w:jc w:val="left"/>
              <w:outlineLvl w:val="2"/>
            </w:pPr>
            <w:r>
              <w:rPr>
                <w:rFonts w:ascii="仿宋_GB2312" w:hAnsi="仿宋_GB2312" w:cs="仿宋_GB2312" w:eastAsia="仿宋_GB2312"/>
                <w:sz w:val="21"/>
                <w:b/>
                <w:color w:val="000000"/>
              </w:rPr>
              <w:t>（四）数据库建立</w:t>
            </w:r>
          </w:p>
          <w:p>
            <w:pPr>
              <w:pStyle w:val="null3"/>
              <w:ind w:left="-360" w:firstLine="420"/>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硬件适配性：数据库可在通用服务器上稳定运行，兼容</w:t>
            </w:r>
            <w:r>
              <w:rPr>
                <w:rFonts w:ascii="仿宋_GB2312" w:hAnsi="仿宋_GB2312" w:cs="仿宋_GB2312" w:eastAsia="仿宋_GB2312"/>
                <w:sz w:val="21"/>
                <w:color w:val="000000"/>
              </w:rPr>
              <w:t>Windows Server、Linux 等主流服务器操作系统，支持多用户同时在线访问，数据查询、统计分析响应速度满足日常业务办理需求。</w:t>
            </w:r>
          </w:p>
          <w:p>
            <w:pPr>
              <w:pStyle w:val="null3"/>
              <w:ind w:firstLine="420"/>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软件功能要求</w:t>
            </w:r>
          </w:p>
          <w:p>
            <w:pPr>
              <w:pStyle w:val="null3"/>
              <w:ind w:left="-360" w:firstLine="420"/>
              <w:jc w:val="left"/>
            </w:pPr>
            <w:r>
              <w:rPr>
                <w:rFonts w:ascii="仿宋_GB2312" w:hAnsi="仿宋_GB2312" w:cs="仿宋_GB2312" w:eastAsia="仿宋_GB2312"/>
                <w:sz w:val="21"/>
                <w:color w:val="000000"/>
              </w:rPr>
              <w:t>数据管理：支持矢量、栅格、属性等多类型数据的录入、编辑、删除、更新，兼容</w:t>
            </w:r>
            <w:r>
              <w:rPr>
                <w:rFonts w:ascii="仿宋_GB2312" w:hAnsi="仿宋_GB2312" w:cs="仿宋_GB2312" w:eastAsia="仿宋_GB2312"/>
                <w:sz w:val="21"/>
                <w:color w:val="000000"/>
              </w:rPr>
              <w:t>SHP、GDB、TIFF、Excel 等常用数据格式的转换与导入导出。</w:t>
            </w:r>
          </w:p>
          <w:p>
            <w:pPr>
              <w:pStyle w:val="null3"/>
              <w:ind w:left="-360" w:firstLine="420"/>
              <w:jc w:val="left"/>
            </w:pPr>
            <w:r>
              <w:rPr>
                <w:rFonts w:ascii="仿宋_GB2312" w:hAnsi="仿宋_GB2312" w:cs="仿宋_GB2312" w:eastAsia="仿宋_GB2312"/>
                <w:sz w:val="21"/>
                <w:color w:val="000000"/>
              </w:rPr>
              <w:t>空间分析：具备缓冲区分析、叠加分析、空间查询、拓扑检查等基础空间分析功能，支持自然资源空间分布、权属关系、利用现状的可视化分析。</w:t>
            </w:r>
          </w:p>
          <w:p>
            <w:pPr>
              <w:pStyle w:val="null3"/>
              <w:ind w:left="-360" w:firstLine="420"/>
              <w:jc w:val="left"/>
            </w:pPr>
            <w:r>
              <w:rPr>
                <w:rFonts w:ascii="仿宋_GB2312" w:hAnsi="仿宋_GB2312" w:cs="仿宋_GB2312" w:eastAsia="仿宋_GB2312"/>
                <w:sz w:val="21"/>
                <w:color w:val="000000"/>
              </w:rPr>
              <w:t>统计报表：支持自定义报表生成，可按资源类型、行政区域、权属性质等多维度生成清查成果统计表，报表支持导出为</w:t>
            </w:r>
            <w:r>
              <w:rPr>
                <w:rFonts w:ascii="仿宋_GB2312" w:hAnsi="仿宋_GB2312" w:cs="仿宋_GB2312" w:eastAsia="仿宋_GB2312"/>
                <w:sz w:val="21"/>
                <w:color w:val="000000"/>
              </w:rPr>
              <w:t>Excel、PDF 等常用格式。</w:t>
            </w:r>
          </w:p>
          <w:p>
            <w:pPr>
              <w:pStyle w:val="null3"/>
              <w:ind w:left="-360" w:firstLine="420"/>
              <w:jc w:val="left"/>
            </w:pPr>
            <w:r>
              <w:rPr>
                <w:rFonts w:ascii="仿宋_GB2312" w:hAnsi="仿宋_GB2312" w:cs="仿宋_GB2312" w:eastAsia="仿宋_GB2312"/>
                <w:sz w:val="21"/>
                <w:color w:val="000000"/>
              </w:rPr>
              <w:t>地图展示：支持资产</w:t>
            </w:r>
            <w:r>
              <w:rPr>
                <w:rFonts w:ascii="仿宋_GB2312" w:hAnsi="仿宋_GB2312" w:cs="仿宋_GB2312" w:eastAsia="仿宋_GB2312"/>
                <w:sz w:val="21"/>
                <w:color w:val="000000"/>
              </w:rPr>
              <w:t>“一张图” 的可视化展示，实现图层控制、缩放、平移、标注等基础功能，支持地图标准化打印输出。</w:t>
            </w:r>
          </w:p>
          <w:p>
            <w:pPr>
              <w:pStyle w:val="null3"/>
              <w:ind w:left="-360" w:firstLine="420"/>
              <w:jc w:val="left"/>
            </w:pPr>
            <w:r>
              <w:rPr>
                <w:rFonts w:ascii="仿宋_GB2312" w:hAnsi="仿宋_GB2312" w:cs="仿宋_GB2312" w:eastAsia="仿宋_GB2312"/>
                <w:sz w:val="21"/>
                <w:color w:val="000000"/>
              </w:rPr>
              <w:t>权限管理：具备多级用户权限管理功能，可按角色分配数据查看、编辑、审核、管理等不同权限，操作日志全程记录、可追溯。</w:t>
            </w:r>
          </w:p>
          <w:p>
            <w:pPr>
              <w:pStyle w:val="null3"/>
              <w:ind w:firstLine="420"/>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数据安全：数据库具备完善的数据备份、恢复功能，支持自动定时备份，数据传输及存储采用加密方式，有效防止数据泄露、篡改、丢失。</w:t>
            </w:r>
          </w:p>
          <w:p>
            <w:pPr>
              <w:pStyle w:val="null3"/>
              <w:ind w:firstLine="420"/>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成果存储：清查所有成果（图件、台账、报告、原始数据）需实现数据库集中统一存储，且能与三原县自然资源局现有业务系统实现数据共享，满足后续自然资源资产管理、查询、更新等长期工作需求。</w:t>
            </w:r>
          </w:p>
          <w:p>
            <w:pPr>
              <w:pStyle w:val="null3"/>
              <w:jc w:val="left"/>
              <w:outlineLvl w:val="2"/>
            </w:pPr>
            <w:r>
              <w:rPr>
                <w:rFonts w:ascii="仿宋_GB2312" w:hAnsi="仿宋_GB2312" w:cs="仿宋_GB2312" w:eastAsia="仿宋_GB2312"/>
                <w:sz w:val="21"/>
                <w:b/>
                <w:color w:val="000000"/>
              </w:rPr>
              <w:t>（五）成果核查与质检</w:t>
            </w:r>
          </w:p>
          <w:p>
            <w:pPr>
              <w:pStyle w:val="null3"/>
              <w:ind w:left="360"/>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内业核查：对清查成果的图件、数据、台账、报告等进行全要素完整性、逻辑一致性、格式规范性核查，核查覆盖率</w:t>
            </w:r>
            <w:r>
              <w:rPr>
                <w:rFonts w:ascii="仿宋_GB2312" w:hAnsi="仿宋_GB2312" w:cs="仿宋_GB2312" w:eastAsia="仿宋_GB2312"/>
                <w:sz w:val="21"/>
                <w:color w:val="000000"/>
              </w:rPr>
              <w:t>100%，对发现的问题需全部整改并完成复核。</w:t>
            </w:r>
          </w:p>
          <w:p>
            <w:pPr>
              <w:pStyle w:val="null3"/>
              <w:ind w:left="360"/>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外业抽检：按资源类型分层科学抽样，抽检样本覆盖不同行政区域、不同资源利用类型，外业核查结果与内业成果需高度一致，符合国家级清查技术规范要求。</w:t>
            </w:r>
          </w:p>
          <w:p>
            <w:pPr>
              <w:pStyle w:val="null3"/>
              <w:ind w:left="360"/>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质量检验：建立三级质检体系（作业单位自检、项目组复检、采购人终检），每级质检均形成正式质检报告，明确质检内容、质检结果、问题整改情况，终检合格后方可提交成果。</w:t>
            </w:r>
          </w:p>
          <w:p>
            <w:pPr>
              <w:pStyle w:val="null3"/>
              <w:ind w:left="360"/>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成果归档：所有清查成果（含原始调查数据、过程资料、质检报告、最终成果）需按档案管理相关国家标准进行标准化归档，形成纸质和电子两套档案，电子档案需满足长期可读取要求。</w:t>
            </w:r>
          </w:p>
          <w:p>
            <w:pPr>
              <w:pStyle w:val="null3"/>
              <w:jc w:val="left"/>
              <w:outlineLvl w:val="1"/>
            </w:pPr>
            <w:r>
              <w:rPr>
                <w:rFonts w:ascii="仿宋_GB2312" w:hAnsi="仿宋_GB2312" w:cs="仿宋_GB2312" w:eastAsia="仿宋_GB2312"/>
                <w:sz w:val="21"/>
                <w:b/>
                <w:color w:val="000000"/>
              </w:rPr>
              <w:t>三、成果交付技术要求</w:t>
            </w:r>
          </w:p>
          <w:p>
            <w:pPr>
              <w:pStyle w:val="null3"/>
              <w:ind w:left="360"/>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实物成果：需提交标准化的清查报告（含总报告、各资源类型分报告）、清查台账（纸质版</w:t>
            </w:r>
            <w:r>
              <w:rPr>
                <w:rFonts w:ascii="仿宋_GB2312" w:hAnsi="仿宋_GB2312" w:cs="仿宋_GB2312" w:eastAsia="仿宋_GB2312"/>
                <w:sz w:val="21"/>
                <w:color w:val="000000"/>
              </w:rPr>
              <w:t>+ 电子版）、图件成果（自然资源资产 “一张图”、各资源类型清查图、权属图等）、质检报告、价格体系报告、使用权分析报告等。纸质成果需按规范装订成册，图件成果为符合精度要求的蓝图 / 彩图。</w:t>
            </w:r>
          </w:p>
          <w:p>
            <w:pPr>
              <w:pStyle w:val="null3"/>
              <w:ind w:left="360"/>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电子成果：所有成果的电子版本需按国家规范格式存储（文档为</w:t>
            </w:r>
            <w:r>
              <w:rPr>
                <w:rFonts w:ascii="仿宋_GB2312" w:hAnsi="仿宋_GB2312" w:cs="仿宋_GB2312" w:eastAsia="仿宋_GB2312"/>
                <w:sz w:val="21"/>
                <w:color w:val="000000"/>
              </w:rPr>
              <w:t>Word/PDF，图件为 SHP/GDB/TIFF，数据为 Excel / 数据库备份文件），存储于正版规范存储介质，且需按要求上传至三原县自然资源局指定服务器。</w:t>
            </w:r>
          </w:p>
          <w:p>
            <w:pPr>
              <w:pStyle w:val="null3"/>
              <w:ind w:left="360"/>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成果规范性：所有成果的格式、内容、计量单位等需严格符合国家及陕西省自然资源清查相关标准，报告内容数据准确、逻辑清晰、分析深入；图件需要素完整、标注规范、精度达标；数据需实现台账一致、图数一致、权属一致。</w:t>
            </w:r>
          </w:p>
          <w:p>
            <w:pPr>
              <w:pStyle w:val="null3"/>
              <w:jc w:val="left"/>
              <w:outlineLvl w:val="1"/>
            </w:pPr>
            <w:r>
              <w:rPr>
                <w:rFonts w:ascii="仿宋_GB2312" w:hAnsi="仿宋_GB2312" w:cs="仿宋_GB2312" w:eastAsia="仿宋_GB2312"/>
                <w:sz w:val="21"/>
                <w:b/>
                <w:color w:val="000000"/>
              </w:rPr>
              <w:t>四、技术服务与培训要求</w:t>
            </w:r>
          </w:p>
          <w:p>
            <w:pPr>
              <w:pStyle w:val="null3"/>
              <w:ind w:left="360"/>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技术服务：项目实施期间，供应商需安排专业技术人员驻场服务，及时解决清查工作中的各类技术问题；项目验收后，按要求提供免费技术维保服务，维保期间需在规定时限内响应技术需求，及时解决数据库运行、成果使用等相关问题。</w:t>
            </w:r>
          </w:p>
          <w:p>
            <w:pPr>
              <w:pStyle w:val="null3"/>
              <w:ind w:left="360"/>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技术培训：为采购人提供规范的技术业务培训，培训内容包括数据库操作、成果查询与使用、清查成果更新方法、技术规范解读等，培训对象覆盖采购人相关业务人员，确保参训人员能独立操作数据库、熟练使用清查成果。</w:t>
            </w:r>
          </w:p>
          <w:p>
            <w:pPr>
              <w:pStyle w:val="null3"/>
              <w:jc w:val="left"/>
              <w:outlineLvl w:val="1"/>
            </w:pPr>
            <w:r>
              <w:rPr>
                <w:rFonts w:ascii="仿宋_GB2312" w:hAnsi="仿宋_GB2312" w:cs="仿宋_GB2312" w:eastAsia="仿宋_GB2312"/>
                <w:sz w:val="21"/>
                <w:b/>
                <w:color w:val="000000"/>
              </w:rPr>
              <w:t>五、合规性与人员专业要求</w:t>
            </w:r>
          </w:p>
          <w:p>
            <w:pPr>
              <w:pStyle w:val="null3"/>
              <w:ind w:left="360"/>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合规性要求：供应商实施本项目所使用的技术、方法、标准均需符合国家、陕西省及咸阳市关于全民所有自然资源资产清查的法律法规、技术规范和政策要求；项目实施过程中需遵守自然资源调查、测绘、确权登记等相关法律法规，确保调查行为合法合规，不得侵犯第三方合法权益。</w:t>
            </w:r>
          </w:p>
          <w:p>
            <w:pPr>
              <w:pStyle w:val="null3"/>
              <w:ind w:left="360"/>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知识产权与保密：清查成果的知识产权归采购人（三原县自然资源局）所有，供应商需对采购人提供的原始数据、成果资料承担永久保密义务，未经采购人书面同意，不得向第三方泄露、转让相关数据和成果。</w:t>
            </w:r>
          </w:p>
          <w:p>
            <w:pPr>
              <w:pStyle w:val="null3"/>
              <w:ind w:left="360"/>
              <w:jc w:val="left"/>
            </w:pPr>
            <w:r>
              <w:rPr>
                <w:rFonts w:ascii="仿宋_GB2312" w:hAnsi="仿宋_GB2312" w:cs="仿宋_GB2312" w:eastAsia="仿宋_GB2312"/>
              </w:rPr>
              <w:t xml:space="preserve"> </w:t>
            </w:r>
          </w:p>
          <w:p>
            <w:pPr>
              <w:pStyle w:val="null3"/>
              <w:ind w:left="360"/>
              <w:jc w:val="left"/>
            </w:pPr>
          </w:p>
          <w:p>
            <w:pPr>
              <w:pStyle w:val="null3"/>
              <w:ind w:left="-360"/>
              <w:jc w:val="left"/>
            </w:pP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标的名称：三原县城区和镇区范围确定编制项目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outlineLvl w:val="1"/>
            </w:pPr>
            <w:r>
              <w:rPr>
                <w:rFonts w:ascii="仿宋_GB2312" w:hAnsi="仿宋_GB2312" w:cs="仿宋_GB2312" w:eastAsia="仿宋_GB2312"/>
                <w:sz w:val="24"/>
                <w:b/>
                <w:color w:val="000000"/>
              </w:rPr>
              <w:t>一、基础数据应用要求</w:t>
            </w:r>
          </w:p>
          <w:p>
            <w:pPr>
              <w:pStyle w:val="null3"/>
              <w:ind w:firstLine="363"/>
              <w:jc w:val="left"/>
            </w:pPr>
            <w:r>
              <w:rPr>
                <w:rFonts w:ascii="仿宋_GB2312" w:hAnsi="仿宋_GB2312" w:cs="仿宋_GB2312" w:eastAsia="仿宋_GB2312"/>
                <w:sz w:val="24"/>
                <w:color w:val="000000"/>
              </w:rPr>
              <w:t>1.可兼容国土变更调查年度成果数据格式，实现对指定年度国土变更调查成果的高效提取、解析与整合应用，保障基础数据的完整性与可用性。</w:t>
            </w:r>
          </w:p>
          <w:p>
            <w:pPr>
              <w:pStyle w:val="null3"/>
              <w:ind w:firstLine="363"/>
              <w:jc w:val="left"/>
            </w:pPr>
            <w:r>
              <w:rPr>
                <w:rFonts w:ascii="仿宋_GB2312" w:hAnsi="仿宋_GB2312" w:cs="仿宋_GB2312" w:eastAsia="仿宋_GB2312"/>
                <w:sz w:val="24"/>
                <w:color w:val="000000"/>
              </w:rPr>
              <w:t>2.对基础数据的处理需遵循国土调查相关技术规范，确保数据处理过程中无信息丢失、失真，数据坐标、权属、地类等核心要素保持精准。</w:t>
            </w:r>
          </w:p>
          <w:p>
            <w:pPr>
              <w:pStyle w:val="null3"/>
              <w:jc w:val="left"/>
              <w:outlineLvl w:val="1"/>
            </w:pPr>
            <w:r>
              <w:rPr>
                <w:rFonts w:ascii="仿宋_GB2312" w:hAnsi="仿宋_GB2312" w:cs="仿宋_GB2312" w:eastAsia="仿宋_GB2312"/>
                <w:sz w:val="24"/>
                <w:b/>
                <w:color w:val="000000"/>
              </w:rPr>
              <w:t>二、镇区范围划定技术要求</w:t>
            </w:r>
          </w:p>
          <w:p>
            <w:pPr>
              <w:pStyle w:val="null3"/>
              <w:ind w:firstLine="363"/>
              <w:jc w:val="left"/>
            </w:pPr>
            <w:r>
              <w:rPr>
                <w:rFonts w:ascii="仿宋_GB2312" w:hAnsi="仿宋_GB2312" w:cs="仿宋_GB2312" w:eastAsia="仿宋_GB2312"/>
                <w:sz w:val="24"/>
                <w:color w:val="000000"/>
              </w:rPr>
              <w:t>1.严格依据自然资源部发布的镇区范围确定相关规程开展划定工作，划定方法、判定标准与规程要求高度契合，确保划定逻辑科学、依据充分。</w:t>
            </w:r>
          </w:p>
          <w:p>
            <w:pPr>
              <w:pStyle w:val="null3"/>
              <w:ind w:firstLine="363"/>
              <w:jc w:val="left"/>
            </w:pPr>
            <w:r>
              <w:rPr>
                <w:rFonts w:ascii="仿宋_GB2312" w:hAnsi="仿宋_GB2312" w:cs="仿宋_GB2312" w:eastAsia="仿宋_GB2312"/>
                <w:sz w:val="24"/>
                <w:color w:val="000000"/>
              </w:rPr>
              <w:t>2.镇区范围及实体地域范围划定需遵循客观真实、科学合理、定量准确原则，边界划定清晰可界定，与实际地理空间、建设现状、规划布局相匹配。</w:t>
            </w:r>
          </w:p>
          <w:p>
            <w:pPr>
              <w:pStyle w:val="null3"/>
              <w:ind w:firstLine="363"/>
              <w:jc w:val="left"/>
            </w:pPr>
            <w:r>
              <w:rPr>
                <w:rFonts w:ascii="仿宋_GB2312" w:hAnsi="仿宋_GB2312" w:cs="仿宋_GB2312" w:eastAsia="仿宋_GB2312"/>
                <w:sz w:val="24"/>
                <w:color w:val="000000"/>
              </w:rPr>
              <w:t>3.可实现不同年度镇区实体地域范围的精准划定，能清晰反映各年度镇区范围的动态变化情况，满足年度成果对比与分析需求。</w:t>
            </w:r>
          </w:p>
          <w:p>
            <w:pPr>
              <w:pStyle w:val="null3"/>
              <w:jc w:val="left"/>
              <w:outlineLvl w:val="1"/>
            </w:pPr>
            <w:r>
              <w:rPr>
                <w:rFonts w:ascii="仿宋_GB2312" w:hAnsi="仿宋_GB2312" w:cs="仿宋_GB2312" w:eastAsia="仿宋_GB2312"/>
                <w:sz w:val="24"/>
                <w:b/>
                <w:color w:val="000000"/>
              </w:rPr>
              <w:t>三、成果编制技术要求</w:t>
            </w:r>
          </w:p>
          <w:p>
            <w:pPr>
              <w:pStyle w:val="null3"/>
              <w:ind w:firstLine="363"/>
              <w:jc w:val="left"/>
            </w:pPr>
            <w:r>
              <w:rPr>
                <w:rFonts w:ascii="仿宋_GB2312" w:hAnsi="仿宋_GB2312" w:cs="仿宋_GB2312" w:eastAsia="仿宋_GB2312"/>
                <w:sz w:val="24"/>
                <w:color w:val="000000"/>
              </w:rPr>
              <w:t>1.镇区范围划定成果需包含空间矢量数据、划定图件、文字报告等核心内容，各成果内容相互印证、逻辑一致，形成完整的成果体系。</w:t>
            </w:r>
          </w:p>
          <w:p>
            <w:pPr>
              <w:pStyle w:val="null3"/>
              <w:ind w:firstLine="363"/>
              <w:jc w:val="left"/>
            </w:pPr>
            <w:r>
              <w:rPr>
                <w:rFonts w:ascii="仿宋_GB2312" w:hAnsi="仿宋_GB2312" w:cs="仿宋_GB2312" w:eastAsia="仿宋_GB2312"/>
                <w:sz w:val="24"/>
                <w:color w:val="000000"/>
              </w:rPr>
              <w:t>2.空间矢量数据需符合国土空间规划数据标准，图层分层合理、属性字段完整，可直接对接国土空间规划相关信息系统，实现数据共享与应用。</w:t>
            </w:r>
          </w:p>
          <w:p>
            <w:pPr>
              <w:pStyle w:val="null3"/>
              <w:ind w:firstLine="363"/>
              <w:jc w:val="left"/>
            </w:pPr>
            <w:r>
              <w:rPr>
                <w:rFonts w:ascii="仿宋_GB2312" w:hAnsi="仿宋_GB2312" w:cs="仿宋_GB2312" w:eastAsia="仿宋_GB2312"/>
                <w:sz w:val="24"/>
                <w:color w:val="000000"/>
              </w:rPr>
              <w:t>3.划定图件制图规范，要素标注清晰、准确、规范，比例尺选用适宜，能直观展现镇区范围边界、地理区位、周边地物等信息。</w:t>
            </w:r>
          </w:p>
          <w:p>
            <w:pPr>
              <w:pStyle w:val="null3"/>
              <w:ind w:firstLine="363"/>
              <w:jc w:val="left"/>
            </w:pPr>
            <w:r>
              <w:rPr>
                <w:rFonts w:ascii="仿宋_GB2312" w:hAnsi="仿宋_GB2312" w:cs="仿宋_GB2312" w:eastAsia="仿宋_GB2312"/>
                <w:sz w:val="24"/>
                <w:color w:val="000000"/>
              </w:rPr>
              <w:t>4.文字报告内容完整，包含工作背景、技术路线、划定过程、成果分析、结论建议等部分，论述条理清晰、数据支撑充分、结论客观严谨。</w:t>
            </w:r>
          </w:p>
          <w:p>
            <w:pPr>
              <w:pStyle w:val="null3"/>
              <w:jc w:val="left"/>
              <w:outlineLvl w:val="1"/>
            </w:pPr>
            <w:r>
              <w:rPr>
                <w:rFonts w:ascii="仿宋_GB2312" w:hAnsi="仿宋_GB2312" w:cs="仿宋_GB2312" w:eastAsia="仿宋_GB2312"/>
                <w:sz w:val="24"/>
                <w:b/>
                <w:color w:val="000000"/>
              </w:rPr>
              <w:t>四、技术服务性能要求</w:t>
            </w:r>
          </w:p>
          <w:p>
            <w:pPr>
              <w:pStyle w:val="null3"/>
              <w:ind w:firstLine="36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.具备专业的技术服务团队，可根据项目实施需求提供全程技术支撑，及时响应项目实施过程中的技术问题，提供合理可行的解决方案。</w:t>
            </w:r>
          </w:p>
          <w:p>
            <w:pPr>
              <w:pStyle w:val="null3"/>
              <w:ind w:firstLine="363"/>
              <w:jc w:val="left"/>
            </w:pPr>
            <w:r>
              <w:rPr>
                <w:rFonts w:ascii="仿宋_GB2312" w:hAnsi="仿宋_GB2312" w:cs="仿宋_GB2312" w:eastAsia="仿宋_GB2312"/>
                <w:sz w:val="24"/>
                <w:color w:val="000000"/>
              </w:rPr>
              <w:t>2.能按照约定的实施周期推进项目工作，保障各工作环节的实施质量与效率，确保项目成果按时交付。</w:t>
            </w:r>
          </w:p>
          <w:p>
            <w:pPr>
              <w:pStyle w:val="null3"/>
              <w:ind w:firstLine="363"/>
              <w:jc w:val="left"/>
            </w:pPr>
            <w:r>
              <w:rPr>
                <w:rFonts w:ascii="仿宋_GB2312" w:hAnsi="仿宋_GB2312" w:cs="仿宋_GB2312" w:eastAsia="仿宋_GB2312"/>
                <w:sz w:val="24"/>
                <w:color w:val="000000"/>
              </w:rPr>
              <w:t>3.可免费为采购人提供技术业务培训，培训内容贴合项目实际应用需求，能提升采购人相关工作人员对成果的使用、管理与应用能力。</w:t>
            </w:r>
          </w:p>
          <w:p>
            <w:pPr>
              <w:pStyle w:val="null3"/>
              <w:ind w:firstLine="363"/>
              <w:jc w:val="left"/>
            </w:pPr>
            <w:r>
              <w:rPr>
                <w:rFonts w:ascii="仿宋_GB2312" w:hAnsi="仿宋_GB2312" w:cs="仿宋_GB2312" w:eastAsia="仿宋_GB2312"/>
                <w:sz w:val="24"/>
                <w:color w:val="000000"/>
              </w:rPr>
              <w:t>4.项目成果需具备可调整性，若后续相关技术标准、规划要求发生变化，可按照采购人要求对成果进行相应修改完善，保障成果的时效性与适用性。</w:t>
            </w:r>
          </w:p>
          <w:p>
            <w:pPr>
              <w:pStyle w:val="null3"/>
              <w:jc w:val="left"/>
              <w:outlineLvl w:val="1"/>
            </w:pPr>
            <w:r>
              <w:rPr>
                <w:rFonts w:ascii="仿宋_GB2312" w:hAnsi="仿宋_GB2312" w:cs="仿宋_GB2312" w:eastAsia="仿宋_GB2312"/>
                <w:sz w:val="24"/>
                <w:b/>
                <w:color w:val="000000"/>
              </w:rPr>
              <w:t>五、成果质量与安全要求</w:t>
            </w:r>
          </w:p>
          <w:p>
            <w:pPr>
              <w:pStyle w:val="null3"/>
              <w:ind w:firstLine="363"/>
              <w:jc w:val="left"/>
            </w:pPr>
            <w:r>
              <w:rPr>
                <w:rFonts w:ascii="仿宋_GB2312" w:hAnsi="仿宋_GB2312" w:cs="仿宋_GB2312" w:eastAsia="仿宋_GB2312"/>
                <w:sz w:val="24"/>
                <w:color w:val="000000"/>
              </w:rPr>
              <w:t>1.项目最终成果需通过采购人审核验收，符合镇区范围确定相关规程、项目合同条款及采购人的技术要求，质量达到行业合格标准。</w:t>
            </w:r>
          </w:p>
          <w:p>
            <w:pPr>
              <w:pStyle w:val="null3"/>
              <w:ind w:firstLine="363"/>
              <w:jc w:val="left"/>
            </w:pPr>
            <w:r>
              <w:rPr>
                <w:rFonts w:ascii="仿宋_GB2312" w:hAnsi="仿宋_GB2312" w:cs="仿宋_GB2312" w:eastAsia="仿宋_GB2312"/>
                <w:sz w:val="24"/>
                <w:color w:val="000000"/>
              </w:rPr>
              <w:t>2.对采购人提供的图纸、技术资料及项目形成的成果承担保密义务，建立完善的保密管理制度，确保相关信息不泄露、不向第三方转让。</w:t>
            </w:r>
          </w:p>
          <w:p>
            <w:pPr>
              <w:pStyle w:val="null3"/>
              <w:ind w:firstLine="363"/>
              <w:jc w:val="left"/>
            </w:pPr>
            <w:r>
              <w:rPr>
                <w:rFonts w:ascii="仿宋_GB2312" w:hAnsi="仿宋_GB2312" w:cs="仿宋_GB2312" w:eastAsia="仿宋_GB2312"/>
                <w:sz w:val="24"/>
                <w:color w:val="000000"/>
              </w:rPr>
              <w:t>3.成果数据具备完善的备份机制，保障数据存储安全，防止数据丢失、损坏，同时满足数据使用过程中的稳定性与可靠性要求。</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供应商根据单位自身情况及项目实际情况配置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供应商根据单位自身情况及项目实际情况配置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供应商根据单位自身情况及项目实际情况配置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供应商根据单位自身情况及项目实际情况配置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24个月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6个月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三原县自然资源局</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三原县自然资源局</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确保项目成果符合技术标准要求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确保项目成果符合技术标准要求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所有成果完成经审核通过并提交甲方</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所有成果完成经审核通过并提交甲方</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因合同执行过程中双方发生纠纷，可由双方当事人协商解决，或根据一方或双方当事人的申请，由其共同上级行政主管部门调解，若达不成协议，当事人双方同意向原告所在地有管辖权的人民法院起诉。</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因合同执行过程中双方发生纠纷，可由双方当事人协商解决，或根据一方或双方当事人的申请，由其共同上级行政主管部门调解，若达不成协议，当事人双方同意向原告所在地有管辖权的人民法院起诉。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标的清单 供应商应提交的相关资格证明材料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标的清单 供应商应提交的相关资格证明材料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标的清单 供应商应提交的相关资格证明材料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响应主体</w:t>
            </w:r>
          </w:p>
        </w:tc>
        <w:tc>
          <w:tcPr>
            <w:tcW w:type="dxa" w:w="3322"/>
          </w:tcPr>
          <w:p>
            <w:pPr>
              <w:pStyle w:val="null3"/>
            </w:pPr>
            <w:r>
              <w:rPr>
                <w:rFonts w:ascii="仿宋_GB2312" w:hAnsi="仿宋_GB2312" w:cs="仿宋_GB2312" w:eastAsia="仿宋_GB2312"/>
              </w:rPr>
              <w:t>有独立承担民事责任能力的法人、其他组织或自然人，营业执照、税务登记证、组织机构代码证（多证合一只提供营业执照，事业单位提供事业单位法人证书，自然人提供本人身份证）合法有效；</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提供法定代表人授权委托书及委托代理人有效身份证原件，法定代表人直接参加开标会议，需提供法定代表人身份证明及其有效的身份证原件；</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的财务报表或具有财务审计资质的单位出具的财务报告（至少包括资产负债表和利润表，成立时间至提交响应文件截止时间不足一年的可提供成立后任意时段的资产负债表），或银行出具的资信证明；</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提供开标截止时间前半年内至少一个月的纳税证明或完税证明；依法免税的单位应提供相关证明材料；</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提供开标截止时间前半年内至少一个月的社保机构开具的社会保险参保缴费情况证明；依法不需要缴纳社会保障资金的单位应提供相关证明材料；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供应商不得为“信用中国”网站（www.creditchina.gov.cn）中被列入“重大税收违法失信主体”的供应商,不得为“中国执行信息公开网”网站（zxgk.court.gov.cn/）中被列入“失信被执行人”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本项目不接受联合体投标，提供非联合体投标声明。</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资格条件</w:t>
            </w:r>
          </w:p>
        </w:tc>
        <w:tc>
          <w:tcPr>
            <w:tcW w:type="dxa" w:w="3322"/>
          </w:tcPr>
          <w:p>
            <w:pPr>
              <w:pStyle w:val="null3"/>
            </w:pPr>
            <w:r>
              <w:rPr>
                <w:rFonts w:ascii="仿宋_GB2312" w:hAnsi="仿宋_GB2312" w:cs="仿宋_GB2312" w:eastAsia="仿宋_GB2312"/>
              </w:rPr>
              <w:t>具有测绘行政主管部门颁发的测绘乙级或以上资质</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项目负责人具有相关专业中级及以上职称；</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响应主体</w:t>
            </w:r>
          </w:p>
        </w:tc>
        <w:tc>
          <w:tcPr>
            <w:tcW w:type="dxa" w:w="3322"/>
          </w:tcPr>
          <w:p>
            <w:pPr>
              <w:pStyle w:val="null3"/>
            </w:pPr>
            <w:r>
              <w:rPr>
                <w:rFonts w:ascii="仿宋_GB2312" w:hAnsi="仿宋_GB2312" w:cs="仿宋_GB2312" w:eastAsia="仿宋_GB2312"/>
              </w:rPr>
              <w:t>有独立承担民事责任能力的法人、其他组织或自然人，营业执照、税务登记证、组织机构代码证（多证合一只提供营业执照，事业单位提供事业单位法人证书，自然人提供本人身份证）合法有效；</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提供法定代表人授权委托书及委托代理人有效身份证原件，法定代表人直接参加开标会议，需提供法定代表人身份证明及其有效的身份证原件；</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的财务报表或具有财务审计资质的单位出具的财务报告（至少包括资产负债表和利润表，成立时间至提交响应文件截止时间不足一年的可提供成立后任意时段的资产负债表），或银行出具的资信证明；</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提供开标截止时间前半年内至少一个月的纳税证明或完税证明；依法免税的单位应提供相关证明材料；</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提供开标截止时间前半年内至少一个月的社保机构开具的社会保险参保缴费情况证明；依法不需要缴纳社会保障资金的单位应提供相关证明材料；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供应商不得为“信用中国”网站（www.creditchina.gov.cn）中被列入“重大税收违法失信主体”的供应商,不得为“中国执行信息公开网”网站（zxgk.court.gov.cn/）中被列入“失信被执行人”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本项目不接受联合体投标，提供非联合体投标声明。</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供应商须具备行政主管部门颁发的城乡规划（国土空间规划）编制乙级及以上资质证书，且在有效期内。</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项目负责人须具备相关专业中级及以上职称。</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响应主体</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有效性</w:t>
            </w:r>
          </w:p>
        </w:tc>
        <w:tc>
          <w:tcPr>
            <w:tcW w:type="dxa" w:w="3322"/>
          </w:tcPr>
          <w:p>
            <w:pPr>
              <w:pStyle w:val="null3"/>
            </w:pPr>
            <w:r>
              <w:rPr>
                <w:rFonts w:ascii="仿宋_GB2312" w:hAnsi="仿宋_GB2312" w:cs="仿宋_GB2312" w:eastAsia="仿宋_GB2312"/>
              </w:rPr>
              <w:t>针对同一项目提交两份或多份内容不同的磋商响应文件，未书面声明哪一份是有效的或出现选择性报价的</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限价</w:t>
            </w:r>
          </w:p>
        </w:tc>
        <w:tc>
          <w:tcPr>
            <w:tcW w:type="dxa" w:w="3322"/>
          </w:tcPr>
          <w:p>
            <w:pPr>
              <w:pStyle w:val="null3"/>
            </w:pPr>
            <w:r>
              <w:rPr>
                <w:rFonts w:ascii="仿宋_GB2312" w:hAnsi="仿宋_GB2312" w:cs="仿宋_GB2312" w:eastAsia="仿宋_GB2312"/>
              </w:rPr>
              <w:t>磋商报价超过采购预算/限价</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磋商有效期不符合磋商文件的要求</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法律、法规和招标文件规定的其他 无效投标情形</w:t>
            </w:r>
          </w:p>
        </w:tc>
        <w:tc>
          <w:tcPr>
            <w:tcW w:type="dxa" w:w="3322"/>
          </w:tcPr>
          <w:p>
            <w:pPr>
              <w:pStyle w:val="null3"/>
            </w:pPr>
            <w:r>
              <w:rPr>
                <w:rFonts w:ascii="仿宋_GB2312" w:hAnsi="仿宋_GB2312" w:cs="仿宋_GB2312" w:eastAsia="仿宋_GB2312"/>
              </w:rPr>
              <w:t>无法律、法规和招标文件规定的其他无效投标 情形</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响应主体</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有效性</w:t>
            </w:r>
          </w:p>
        </w:tc>
        <w:tc>
          <w:tcPr>
            <w:tcW w:type="dxa" w:w="3322"/>
          </w:tcPr>
          <w:p>
            <w:pPr>
              <w:pStyle w:val="null3"/>
            </w:pPr>
            <w:r>
              <w:rPr>
                <w:rFonts w:ascii="仿宋_GB2312" w:hAnsi="仿宋_GB2312" w:cs="仿宋_GB2312" w:eastAsia="仿宋_GB2312"/>
              </w:rPr>
              <w:t>针对同一项目提交两份或多份内容不同的磋商响应文件，未书面声明哪一份是有效的或出现选择性报价的</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限价</w:t>
            </w:r>
          </w:p>
        </w:tc>
        <w:tc>
          <w:tcPr>
            <w:tcW w:type="dxa" w:w="3322"/>
          </w:tcPr>
          <w:p>
            <w:pPr>
              <w:pStyle w:val="null3"/>
            </w:pPr>
            <w:r>
              <w:rPr>
                <w:rFonts w:ascii="仿宋_GB2312" w:hAnsi="仿宋_GB2312" w:cs="仿宋_GB2312" w:eastAsia="仿宋_GB2312"/>
              </w:rPr>
              <w:t>磋商报价超过采购预算/限价</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磋商有效期不符合磋商文件的要求</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法律、法规和招标文件规定的其他 无效投标情形</w:t>
            </w:r>
          </w:p>
        </w:tc>
        <w:tc>
          <w:tcPr>
            <w:tcW w:type="dxa" w:w="3322"/>
          </w:tcPr>
          <w:p>
            <w:pPr>
              <w:pStyle w:val="null3"/>
            </w:pPr>
            <w:r>
              <w:rPr>
                <w:rFonts w:ascii="仿宋_GB2312" w:hAnsi="仿宋_GB2312" w:cs="仿宋_GB2312" w:eastAsia="仿宋_GB2312"/>
              </w:rPr>
              <w:t>无法律、法规和招标文件规定的其他无效投标 情形</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pPr>
      <w:r>
        <w:rPr>
          <w:rFonts w:ascii="仿宋_GB2312" w:hAnsi="仿宋_GB2312" w:cs="仿宋_GB2312" w:eastAsia="仿宋_GB2312"/>
        </w:rPr>
        <w:t>采购包2：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项目理解及解读</w:t>
            </w:r>
          </w:p>
        </w:tc>
        <w:tc>
          <w:tcPr>
            <w:tcW w:type="dxa" w:w="2492"/>
          </w:tcPr>
          <w:p>
            <w:pPr>
              <w:pStyle w:val="null3"/>
            </w:pPr>
            <w:r>
              <w:rPr>
                <w:rFonts w:ascii="仿宋_GB2312" w:hAnsi="仿宋_GB2312" w:cs="仿宋_GB2312" w:eastAsia="仿宋_GB2312"/>
              </w:rPr>
              <w:t>针对本项目的项目理解及解读，内容包括但不限于：①项目背景和核心目标说明；②项目相关政策和规范解读；③项目采购需求整体分析；④项目专项工作要求理解；⑤项目实施基础条件分析；⑥项目实施的意义和价值，方案内容详细完整、针对性强、可行性高，符合项目实际要求。每项满分2分，缺项不得分，每项内容存在缺陷扣1分。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针对本项目的整体服务方案，内容包括但不限于：①项目管理架构及岗位分工；②与采购方的沟通对接机制 ；③项目整体工作流程规划；④项目内外业工作配合方案；⑤项目问题反馈及处理办法；⑥项目成果资料的管理方案，方案内容详细完整、针对性强、可行性高，符合项目实际要求。每项满分2分，缺项不得分，每项内容存在缺陷扣1分。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服务质量保障方案</w:t>
            </w:r>
          </w:p>
        </w:tc>
        <w:tc>
          <w:tcPr>
            <w:tcW w:type="dxa" w:w="2492"/>
          </w:tcPr>
          <w:p>
            <w:pPr>
              <w:pStyle w:val="null3"/>
            </w:pPr>
            <w:r>
              <w:rPr>
                <w:rFonts w:ascii="仿宋_GB2312" w:hAnsi="仿宋_GB2312" w:cs="仿宋_GB2312" w:eastAsia="仿宋_GB2312"/>
              </w:rPr>
              <w:t>针对本项目提供的服务质量保障方案，内容包括但不限于：①项目质量管控整体标准；②各环节质量检查流程；③质量问题识别判定要求；④质量问题整改复核措施；⑤成果质量最终验收标准；⑥质量管控责任落实机制，方案内容详细完整、针对性强、可行性高，符合项目实际要求。每项满分2分，缺项不得分，每项内容存在缺陷扣1分。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工期进度保障方案</w:t>
            </w:r>
          </w:p>
        </w:tc>
        <w:tc>
          <w:tcPr>
            <w:tcW w:type="dxa" w:w="2492"/>
          </w:tcPr>
          <w:p>
            <w:pPr>
              <w:pStyle w:val="null3"/>
            </w:pPr>
            <w:r>
              <w:rPr>
                <w:rFonts w:ascii="仿宋_GB2312" w:hAnsi="仿宋_GB2312" w:cs="仿宋_GB2312" w:eastAsia="仿宋_GB2312"/>
              </w:rPr>
              <w:t>针对本项目提供的工期进度保障方案，内容包括但不限于①项目整体工作计划安排；②各阶段关键时间节点 ；③进度动态监控跟踪措施；④工期滞后预警及补救办法；⑤各环节工作衔接保障；⑥项目按期交付整体措施，方案内容详细完整、针对性强、可行性高，符合项目实际要求。每项满分2分，缺项不得分，每项内容存在缺陷扣1分。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重点难点分析及解决方案</w:t>
            </w:r>
          </w:p>
        </w:tc>
        <w:tc>
          <w:tcPr>
            <w:tcW w:type="dxa" w:w="2492"/>
          </w:tcPr>
          <w:p>
            <w:pPr>
              <w:pStyle w:val="null3"/>
            </w:pPr>
            <w:r>
              <w:rPr>
                <w:rFonts w:ascii="仿宋_GB2312" w:hAnsi="仿宋_GB2312" w:cs="仿宋_GB2312" w:eastAsia="仿宋_GB2312"/>
              </w:rPr>
              <w:t>针对本项目提供的重点难点分析及解决方案，内容包括但不限于，①项目实施的重点内容识别；②项目实施的难点问题梳理；③项目核心重点的应对思路；④项目主要难点的解决办法；⑤项目重点工作的保障措施；⑥项目难点问题的备用处理方案，方案内容详细完整、针对性强、可行性高，符合项目实际要求。每项满分2分，缺项不得分，每项内容存在缺陷扣1分。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项目业绩</w:t>
            </w:r>
          </w:p>
        </w:tc>
        <w:tc>
          <w:tcPr>
            <w:tcW w:type="dxa" w:w="2492"/>
          </w:tcPr>
          <w:p>
            <w:pPr>
              <w:pStyle w:val="null3"/>
            </w:pPr>
            <w:r>
              <w:rPr>
                <w:rFonts w:ascii="仿宋_GB2312" w:hAnsi="仿宋_GB2312" w:cs="仿宋_GB2312" w:eastAsia="仿宋_GB2312"/>
              </w:rPr>
              <w:t>供应商2023年3月以来类似项目业绩；每提供1份计2分，最高得6分。业绩证明（以合同或中标/成交通知书为准，须在磋商响应文件中附以上证明材料的扫描件加盖单位公章，原件备查）弄虚作假者，取消其成交资格。</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项目人员配置</w:t>
            </w:r>
          </w:p>
        </w:tc>
        <w:tc>
          <w:tcPr>
            <w:tcW w:type="dxa" w:w="2492"/>
          </w:tcPr>
          <w:p>
            <w:pPr>
              <w:pStyle w:val="null3"/>
            </w:pPr>
            <w:r>
              <w:rPr>
                <w:rFonts w:ascii="仿宋_GB2312" w:hAnsi="仿宋_GB2312" w:cs="仿宋_GB2312" w:eastAsia="仿宋_GB2312"/>
              </w:rPr>
              <w:t>投标人本项目配备技术人员应具备专业技术能力,项目组人员具备相关专业工程师及以上职称的，每提供一个工程师及以上职称的，得3分，最高得12分（不含项目负责人）。 注：投标人本项目配备技术人员应为自有人员，投标文件中提供满足评分标准要求证书复印件、本人身份证复印件及投标截止时间一年内任意月份的人员社保缴纳证明复印件并加盖单位公章，未提供不得分。同一人提供多个证书的，不得重复赋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提供的服务承诺，内容包括但不限于①服务质量达标完成的承诺；②项目人员按时到位的承诺；③项目实施及验收全程配合的承诺；④未履行承诺的违约责任承诺；⑤项目后续技术培训服务的承诺；⑥项目成果数据保密的承诺，方案内容详细完整、针对性强、可行性高，符合项目实际要求。每项满分2分，缺项不得分，每项内容存在缺陷扣1分。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 磋商报价得分=（磋商基准价/最终磋商报价）×10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项目理解及解读</w:t>
            </w:r>
          </w:p>
        </w:tc>
        <w:tc>
          <w:tcPr>
            <w:tcW w:type="dxa" w:w="2492"/>
          </w:tcPr>
          <w:p>
            <w:pPr>
              <w:pStyle w:val="null3"/>
            </w:pPr>
            <w:r>
              <w:rPr>
                <w:rFonts w:ascii="仿宋_GB2312" w:hAnsi="仿宋_GB2312" w:cs="仿宋_GB2312" w:eastAsia="仿宋_GB2312"/>
              </w:rPr>
              <w:t>针对本项目的理解及解读，内容包括但不限于：①项目背景说明；②项目核心目标理解；③项目工作范围理解；④项目实施意义分析；⑤采购需求整体把握；⑥项目实施条件理解。方案内容详细完整、针对性强、可行性高，符合项目实际要求。每项满分2分，缺项不得分，每项内容存在缺陷扣1分。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针对本项目的整体服务方案，内容包括但不限于：①整体服务思路；②项目整体工作流程；③分阶段工作安排；④资料收集与整理安排；⑤与采购方沟通对接方式；⑥成果交付安排。方案内容详细完整、针对性强、可行性高，符合项目实际要求。每项满分2分，缺项不得分，每项内容存在缺陷扣1分。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服务质量保障方案</w:t>
            </w:r>
          </w:p>
        </w:tc>
        <w:tc>
          <w:tcPr>
            <w:tcW w:type="dxa" w:w="2492"/>
          </w:tcPr>
          <w:p>
            <w:pPr>
              <w:pStyle w:val="null3"/>
            </w:pPr>
            <w:r>
              <w:rPr>
                <w:rFonts w:ascii="仿宋_GB2312" w:hAnsi="仿宋_GB2312" w:cs="仿宋_GB2312" w:eastAsia="仿宋_GB2312"/>
              </w:rPr>
              <w:t>针对本项目的服务质量保障方案，内容包括但不限于：①质量保障目标；②关键环节质量把控；③成果审核机制；④质量问题整改措施；⑤成果符合要求的保障；⑥验收配合措施。方案内容详细完整、针对性强、可行性高，符合项目实际要求。每项满分2分，缺项不得分，每项内容存在缺陷扣1分。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工期进度保障方案</w:t>
            </w:r>
          </w:p>
        </w:tc>
        <w:tc>
          <w:tcPr>
            <w:tcW w:type="dxa" w:w="2492"/>
          </w:tcPr>
          <w:p>
            <w:pPr>
              <w:pStyle w:val="null3"/>
            </w:pPr>
            <w:r>
              <w:rPr>
                <w:rFonts w:ascii="仿宋_GB2312" w:hAnsi="仿宋_GB2312" w:cs="仿宋_GB2312" w:eastAsia="仿宋_GB2312"/>
              </w:rPr>
              <w:t>针对本项目的工期进度保障方案，内容包括但不限于：①整体工期安排；②各阶段进度节点；③进度延误应对措施；④人员与资源保障；⑤与采购方协同推进措施；⑥阶段性成果交付保障。方案内容详细完整、针对性强、可行性高，符合项目实际要求。每项满分2分，缺项不得分，每项内容存在缺陷扣1分。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重点难点分析及解决方案</w:t>
            </w:r>
          </w:p>
        </w:tc>
        <w:tc>
          <w:tcPr>
            <w:tcW w:type="dxa" w:w="2492"/>
          </w:tcPr>
          <w:p>
            <w:pPr>
              <w:pStyle w:val="null3"/>
            </w:pPr>
            <w:r>
              <w:rPr>
                <w:rFonts w:ascii="仿宋_GB2312" w:hAnsi="仿宋_GB2312" w:cs="仿宋_GB2312" w:eastAsia="仿宋_GB2312"/>
              </w:rPr>
              <w:t>针对本项目的重点难点及解决方案，内容包括但不限于：①项目重点分析及应对；②实施难点分析及解决；③协调配合难点及解决；④进度把控难点及解决；⑤成果质量难点及解决；⑥风险应对措施。方案内容详细完整、针对性强、可行性高，符合项目实际要求。每项满分2分，缺项不得分，每项内容存在缺陷扣1分。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项目业绩</w:t>
            </w:r>
          </w:p>
        </w:tc>
        <w:tc>
          <w:tcPr>
            <w:tcW w:type="dxa" w:w="2492"/>
          </w:tcPr>
          <w:p>
            <w:pPr>
              <w:pStyle w:val="null3"/>
            </w:pPr>
            <w:r>
              <w:rPr>
                <w:rFonts w:ascii="仿宋_GB2312" w:hAnsi="仿宋_GB2312" w:cs="仿宋_GB2312" w:eastAsia="仿宋_GB2312"/>
              </w:rPr>
              <w:t>供应商2023年3月以来类似项目业绩；每提供1份计2分，最高得6分。业绩证明（以合同或中标/成交通知书为准，须在磋商响应文件中附以上证明材料的扫描件加盖单位公章，原件备查）弄虚作假者，取消其成交资格。</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投标人本项目配备技术人员应具备专业技术能力,项目组人员具备相关专业工程师及以上职称的，每提供一个工程师及以上职称的，得3分，最高得12分（不含项目负责人）。 注：投标人本项目配备技术人员应为自有人员，投标文件中提供满足评分标准要求证书复印件、本人身份证复印件及投标截止时间一年内任意月份的人员社保缴纳证明复印件并加盖单位公章，未提供不得分。同一人提供多个证书的，不得重复赋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提供的服务承诺，内容包括但不限于：①服务质量达标承诺；②人员按时到位承诺；③项目实施与验收配合承诺；④未履行承诺的责任承诺；⑤项目后续服务承诺；⑥成果数据保密承诺。方案内容详细完整、针对性强、可行性高，符合项目实际要求。每项满分2分，缺项不得分，每项内容存在缺陷扣1分。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 磋商报价得分=（磋商基准价/最终磋商报价）×10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