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947D3A">
      <w:pPr>
        <w:pStyle w:val="17"/>
        <w:jc w:val="center"/>
        <w:outlineLvl w:val="1"/>
        <w:rPr>
          <w:rFonts w:ascii="宋体" w:hAnsi="宋体" w:cs="宋体"/>
          <w:b/>
          <w:bCs/>
          <w:sz w:val="28"/>
          <w:szCs w:val="28"/>
        </w:rPr>
      </w:pPr>
      <w:r>
        <w:rPr>
          <w:rFonts w:ascii="仿宋_GB2312" w:hAnsi="仿宋_GB2312" w:eastAsia="仿宋_GB2312" w:cs="仿宋_GB2312"/>
          <w:b/>
          <w:sz w:val="36"/>
        </w:rPr>
        <w:t>拟签订采购合同文本</w:t>
      </w:r>
    </w:p>
    <w:p w14:paraId="78F7287D">
      <w:pPr>
        <w:spacing w:line="360" w:lineRule="auto"/>
        <w:ind w:firstLine="480" w:firstLineChars="200"/>
        <w:jc w:val="center"/>
        <w:rPr>
          <w:rFonts w:hint="eastAsia" w:ascii="宋体" w:hAnsi="宋体" w:cs="宋体"/>
          <w:sz w:val="24"/>
        </w:rPr>
      </w:pPr>
      <w:r>
        <w:rPr>
          <w:rFonts w:hint="eastAsia" w:ascii="宋体" w:hAnsi="宋体" w:cs="宋体"/>
          <w:sz w:val="24"/>
        </w:rPr>
        <w:t>（此合同样本仅供参考，合同具体细则以双方协定为准）</w:t>
      </w:r>
    </w:p>
    <w:p w14:paraId="44824B99">
      <w:pPr>
        <w:spacing w:line="360" w:lineRule="auto"/>
        <w:ind w:firstLine="562" w:firstLineChars="200"/>
        <w:jc w:val="center"/>
        <w:rPr>
          <w:rFonts w:hint="eastAsia" w:ascii="宋体" w:hAnsi="宋体" w:cs="宋体"/>
          <w:b/>
          <w:bCs/>
          <w:sz w:val="28"/>
          <w:szCs w:val="28"/>
        </w:rPr>
      </w:pPr>
    </w:p>
    <w:p w14:paraId="262A303A">
      <w:pPr>
        <w:spacing w:line="480" w:lineRule="auto"/>
        <w:ind w:firstLine="723" w:firstLineChars="200"/>
        <w:jc w:val="center"/>
        <w:rPr>
          <w:rFonts w:hint="eastAsia" w:ascii="宋体" w:hAnsi="宋体" w:cs="宋体"/>
          <w:b/>
          <w:bCs/>
          <w:kern w:val="0"/>
          <w:sz w:val="36"/>
          <w:szCs w:val="36"/>
          <w:u w:val="none"/>
        </w:rPr>
      </w:pPr>
    </w:p>
    <w:p w14:paraId="2EDFB528">
      <w:pPr>
        <w:spacing w:line="480" w:lineRule="auto"/>
        <w:ind w:firstLine="723" w:firstLineChars="200"/>
        <w:jc w:val="center"/>
        <w:rPr>
          <w:rFonts w:hint="eastAsia" w:ascii="宋体" w:hAnsi="宋体" w:cs="宋体"/>
          <w:b/>
          <w:bCs/>
          <w:kern w:val="0"/>
          <w:sz w:val="36"/>
          <w:szCs w:val="36"/>
          <w:u w:val="none"/>
        </w:rPr>
      </w:pPr>
    </w:p>
    <w:p w14:paraId="7A611C56">
      <w:pPr>
        <w:spacing w:line="480" w:lineRule="auto"/>
        <w:ind w:firstLine="723" w:firstLineChars="200"/>
        <w:jc w:val="center"/>
        <w:rPr>
          <w:rFonts w:hint="eastAsia" w:ascii="宋体" w:hAnsi="宋体" w:cs="宋体" w:eastAsiaTheme="minorEastAsia"/>
          <w:b/>
          <w:bCs/>
          <w:kern w:val="0"/>
          <w:sz w:val="36"/>
          <w:szCs w:val="36"/>
          <w:u w:val="none"/>
          <w:lang w:val="en-US" w:eastAsia="zh-CN"/>
        </w:rPr>
      </w:pPr>
      <w:r>
        <w:rPr>
          <w:rFonts w:hint="eastAsia" w:ascii="宋体" w:hAnsi="宋体" w:cs="宋体"/>
          <w:b/>
          <w:bCs/>
          <w:kern w:val="0"/>
          <w:sz w:val="36"/>
          <w:szCs w:val="36"/>
          <w:u w:val="none"/>
          <w:lang w:eastAsia="zh-CN"/>
        </w:rPr>
        <w:t>三原县消防救援大队消耗食材配送项目</w:t>
      </w:r>
    </w:p>
    <w:p w14:paraId="6EFD2500">
      <w:pPr>
        <w:spacing w:line="480" w:lineRule="auto"/>
        <w:ind w:firstLine="723" w:firstLineChars="200"/>
        <w:jc w:val="center"/>
        <w:rPr>
          <w:rFonts w:hint="eastAsia" w:ascii="宋体" w:hAnsi="宋体" w:cs="宋体"/>
          <w:b/>
          <w:bCs/>
          <w:kern w:val="0"/>
          <w:sz w:val="36"/>
          <w:szCs w:val="36"/>
          <w:u w:val="none"/>
          <w:lang w:val="en-US" w:eastAsia="zh-CN"/>
        </w:rPr>
      </w:pPr>
    </w:p>
    <w:p w14:paraId="6304327E">
      <w:pPr>
        <w:spacing w:line="480" w:lineRule="auto"/>
        <w:ind w:firstLine="723" w:firstLineChars="200"/>
        <w:jc w:val="center"/>
        <w:rPr>
          <w:rFonts w:hint="eastAsia" w:ascii="宋体" w:hAnsi="宋体" w:cs="宋体"/>
          <w:b/>
          <w:bCs/>
          <w:kern w:val="0"/>
          <w:sz w:val="36"/>
          <w:szCs w:val="36"/>
          <w:u w:val="none"/>
          <w:lang w:val="en-US" w:eastAsia="zh-CN"/>
        </w:rPr>
      </w:pPr>
    </w:p>
    <w:p w14:paraId="5137A475">
      <w:pPr>
        <w:spacing w:line="480" w:lineRule="auto"/>
        <w:ind w:firstLine="723" w:firstLineChars="200"/>
        <w:jc w:val="center"/>
        <w:rPr>
          <w:rFonts w:hint="eastAsia"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服务合同</w:t>
      </w:r>
    </w:p>
    <w:p w14:paraId="78752BE0">
      <w:pPr>
        <w:spacing w:line="480" w:lineRule="auto"/>
        <w:ind w:firstLine="723" w:firstLineChars="200"/>
        <w:jc w:val="center"/>
        <w:rPr>
          <w:rFonts w:hint="eastAsia" w:ascii="宋体" w:hAnsi="宋体" w:cs="宋体"/>
          <w:b/>
          <w:bCs/>
          <w:kern w:val="0"/>
          <w:sz w:val="36"/>
          <w:szCs w:val="36"/>
          <w:u w:val="none"/>
          <w:lang w:val="en-US" w:eastAsia="zh-CN"/>
        </w:rPr>
      </w:pPr>
    </w:p>
    <w:p w14:paraId="29E6D8D3">
      <w:pPr>
        <w:spacing w:line="480" w:lineRule="auto"/>
        <w:ind w:firstLine="723" w:firstLineChars="200"/>
        <w:jc w:val="center"/>
        <w:rPr>
          <w:rFonts w:hint="eastAsia" w:ascii="宋体" w:hAnsi="宋体" w:cs="宋体"/>
          <w:b/>
          <w:bCs/>
          <w:kern w:val="0"/>
          <w:sz w:val="36"/>
          <w:szCs w:val="36"/>
          <w:u w:val="none"/>
          <w:lang w:val="en-US" w:eastAsia="zh-CN"/>
        </w:rPr>
      </w:pPr>
    </w:p>
    <w:p w14:paraId="7ED55578">
      <w:pPr>
        <w:spacing w:line="480" w:lineRule="auto"/>
        <w:ind w:firstLine="723" w:firstLineChars="200"/>
        <w:jc w:val="center"/>
        <w:rPr>
          <w:rFonts w:hint="eastAsia" w:ascii="宋体" w:hAnsi="宋体" w:cs="宋体"/>
          <w:b/>
          <w:bCs/>
          <w:kern w:val="0"/>
          <w:sz w:val="36"/>
          <w:szCs w:val="36"/>
          <w:u w:val="none"/>
          <w:lang w:val="en-US" w:eastAsia="zh-CN"/>
        </w:rPr>
      </w:pPr>
    </w:p>
    <w:p w14:paraId="5E36BCA3">
      <w:pPr>
        <w:spacing w:line="480" w:lineRule="auto"/>
        <w:ind w:firstLine="723" w:firstLineChars="200"/>
        <w:jc w:val="center"/>
        <w:rPr>
          <w:rFonts w:hint="eastAsia" w:ascii="宋体" w:hAnsi="宋体" w:cs="宋体"/>
          <w:b/>
          <w:bCs/>
          <w:kern w:val="0"/>
          <w:sz w:val="36"/>
          <w:szCs w:val="36"/>
          <w:u w:val="none"/>
          <w:lang w:val="en-US" w:eastAsia="zh-CN"/>
        </w:rPr>
      </w:pPr>
    </w:p>
    <w:p w14:paraId="2EE5A107">
      <w:pPr>
        <w:spacing w:line="480" w:lineRule="auto"/>
        <w:ind w:firstLine="723" w:firstLineChars="200"/>
        <w:jc w:val="center"/>
        <w:rPr>
          <w:rFonts w:hint="eastAsia" w:ascii="宋体" w:hAnsi="宋体" w:cs="宋体"/>
          <w:b/>
          <w:bCs/>
          <w:kern w:val="0"/>
          <w:sz w:val="36"/>
          <w:szCs w:val="36"/>
          <w:u w:val="none"/>
          <w:lang w:val="en-US" w:eastAsia="zh-CN"/>
        </w:rPr>
      </w:pPr>
    </w:p>
    <w:p w14:paraId="44A2E09C">
      <w:pPr>
        <w:spacing w:line="480" w:lineRule="auto"/>
        <w:ind w:firstLine="723" w:firstLineChars="200"/>
        <w:jc w:val="center"/>
        <w:rPr>
          <w:rFonts w:hint="eastAsia" w:ascii="宋体" w:hAnsi="宋体" w:cs="宋体"/>
          <w:b/>
          <w:bCs/>
          <w:kern w:val="0"/>
          <w:sz w:val="36"/>
          <w:szCs w:val="36"/>
          <w:u w:val="none"/>
          <w:lang w:val="en-US" w:eastAsia="zh-CN"/>
        </w:rPr>
      </w:pPr>
    </w:p>
    <w:p w14:paraId="0F0F722A">
      <w:pPr>
        <w:spacing w:line="480" w:lineRule="auto"/>
        <w:ind w:firstLine="2168" w:firstLineChars="600"/>
        <w:jc w:val="both"/>
        <w:rPr>
          <w:rFonts w:hint="eastAsia" w:ascii="宋体" w:hAnsi="宋体" w:cs="宋体" w:eastAsiaTheme="minorEastAsia"/>
          <w:b/>
          <w:bCs/>
          <w:kern w:val="0"/>
          <w:sz w:val="36"/>
          <w:szCs w:val="36"/>
          <w:u w:val="none"/>
          <w:lang w:val="en-US" w:eastAsia="zh-CN"/>
        </w:rPr>
      </w:pPr>
      <w:r>
        <w:rPr>
          <w:rFonts w:hint="eastAsia" w:ascii="宋体" w:hAnsi="宋体" w:cs="宋体"/>
          <w:b/>
          <w:bCs/>
          <w:kern w:val="0"/>
          <w:sz w:val="36"/>
          <w:szCs w:val="36"/>
          <w:u w:val="none"/>
          <w:lang w:val="en-US" w:eastAsia="zh-CN"/>
        </w:rPr>
        <w:t>甲方：</w:t>
      </w:r>
      <w:r>
        <w:rPr>
          <w:rFonts w:hint="eastAsia" w:ascii="宋体" w:hAnsi="宋体" w:cs="宋体"/>
          <w:b/>
          <w:bCs/>
          <w:kern w:val="0"/>
          <w:sz w:val="36"/>
          <w:szCs w:val="36"/>
          <w:u w:val="none"/>
          <w:lang w:eastAsia="zh-CN"/>
        </w:rPr>
        <w:t>三原县消防救援大队</w:t>
      </w:r>
    </w:p>
    <w:p w14:paraId="0049102C">
      <w:pPr>
        <w:spacing w:line="480" w:lineRule="auto"/>
        <w:ind w:firstLine="2168" w:firstLineChars="600"/>
        <w:jc w:val="both"/>
        <w:rPr>
          <w:rFonts w:hint="default"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乙方：</w:t>
      </w:r>
    </w:p>
    <w:p w14:paraId="6C2F994A">
      <w:pPr>
        <w:spacing w:line="480" w:lineRule="auto"/>
        <w:ind w:firstLine="2168" w:firstLineChars="600"/>
        <w:jc w:val="both"/>
        <w:rPr>
          <w:rFonts w:hint="default" w:ascii="宋体" w:hAnsi="宋体" w:cs="宋体"/>
          <w:b/>
          <w:bCs/>
          <w:kern w:val="0"/>
          <w:sz w:val="36"/>
          <w:szCs w:val="36"/>
          <w:u w:val="none"/>
          <w:lang w:val="en-US" w:eastAsia="zh-CN"/>
        </w:rPr>
      </w:pPr>
      <w:r>
        <w:rPr>
          <w:rFonts w:hint="eastAsia" w:ascii="宋体" w:hAnsi="宋体" w:cs="宋体"/>
          <w:b/>
          <w:bCs/>
          <w:kern w:val="0"/>
          <w:sz w:val="36"/>
          <w:szCs w:val="36"/>
          <w:u w:val="none"/>
          <w:lang w:val="en-US" w:eastAsia="zh-CN"/>
        </w:rPr>
        <w:t>签订日期：</w:t>
      </w:r>
      <w:bookmarkStart w:id="0" w:name="_GoBack"/>
      <w:bookmarkEnd w:id="0"/>
    </w:p>
    <w:p w14:paraId="2E4F9A1E">
      <w:pPr>
        <w:rPr>
          <w:rFonts w:hint="eastAsia" w:ascii="宋体" w:hAnsi="宋体" w:cs="宋体"/>
          <w:b/>
          <w:bCs/>
          <w:sz w:val="24"/>
        </w:rPr>
      </w:pPr>
      <w:r>
        <w:rPr>
          <w:rFonts w:hint="eastAsia" w:ascii="宋体" w:hAnsi="宋体" w:cs="宋体"/>
          <w:b/>
          <w:bCs/>
          <w:sz w:val="24"/>
        </w:rPr>
        <w:br w:type="page"/>
      </w:r>
    </w:p>
    <w:p w14:paraId="5FE37A9E">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lang w:eastAsia="zh-CN"/>
        </w:rPr>
      </w:pPr>
      <w:r>
        <w:rPr>
          <w:rFonts w:hint="eastAsia" w:asciiTheme="minorEastAsia" w:hAnsiTheme="minorEastAsia" w:eastAsiaTheme="minorEastAsia" w:cstheme="minorEastAsia"/>
          <w:b/>
          <w:bCs/>
          <w:sz w:val="24"/>
          <w:szCs w:val="24"/>
        </w:rPr>
        <w:t>甲方：</w:t>
      </w:r>
      <w:r>
        <w:rPr>
          <w:rFonts w:hint="eastAsia" w:asciiTheme="minorEastAsia" w:hAnsiTheme="minorEastAsia" w:cstheme="minorEastAsia"/>
          <w:b/>
          <w:bCs/>
          <w:sz w:val="24"/>
          <w:szCs w:val="24"/>
          <w:lang w:eastAsia="zh-CN"/>
        </w:rPr>
        <w:t>三原县消防救援大队</w:t>
      </w:r>
    </w:p>
    <w:p w14:paraId="7894E83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乙方：</w:t>
      </w:r>
    </w:p>
    <w:p w14:paraId="784AD57C">
      <w:pPr>
        <w:keepNext w:val="0"/>
        <w:keepLines w:val="0"/>
        <w:widowControl/>
        <w:suppressLineNumbers w:val="0"/>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根据《中华人民共和国民法典》、《中华人民共和国政府采购法》及实施条例及</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cstheme="minorEastAsia"/>
          <w:sz w:val="24"/>
          <w:szCs w:val="24"/>
          <w:u w:val="single"/>
          <w:lang w:val="en-US" w:eastAsia="zh-CN"/>
        </w:rPr>
        <w:t>三原县消防救援大队消耗食材配送项目</w:t>
      </w:r>
      <w:r>
        <w:rPr>
          <w:rFonts w:hint="eastAsia" w:asciiTheme="minorEastAsia" w:hAnsiTheme="minorEastAsia" w:eastAsiaTheme="minorEastAsia" w:cstheme="minorEastAsia"/>
          <w:sz w:val="24"/>
          <w:szCs w:val="24"/>
          <w:u w:val="single"/>
        </w:rPr>
        <w:t>（项目编号：</w:t>
      </w:r>
      <w:r>
        <w:rPr>
          <w:rFonts w:hint="eastAsia" w:asciiTheme="minorEastAsia" w:hAnsiTheme="minorEastAsia" w:cstheme="minorEastAsia"/>
          <w:sz w:val="24"/>
          <w:szCs w:val="24"/>
          <w:u w:val="single"/>
          <w:lang w:val="en-US" w:eastAsia="zh-CN"/>
        </w:rPr>
        <w:t>SXKK2026-CS-007-2</w:t>
      </w:r>
      <w:r>
        <w:rPr>
          <w:rFonts w:ascii="宋体" w:hAnsi="宋体" w:eastAsia="宋体" w:cs="宋体"/>
          <w:kern w:val="0"/>
          <w:sz w:val="24"/>
          <w:szCs w:val="24"/>
          <w:lang w:val="en-US" w:eastAsia="zh-CN" w:bidi="ar"/>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的招标文件、投标文件等有关规定，为确保甲方采购项目的顺利实施，甲、乙双方在平等自愿原则下签订本合同，并共同遵守如下条款：</w:t>
      </w:r>
    </w:p>
    <w:p w14:paraId="14087870">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一、服务内容：</w:t>
      </w:r>
    </w:p>
    <w:p w14:paraId="71440B8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b w:val="0"/>
          <w:bCs w:val="0"/>
          <w:sz w:val="24"/>
          <w:szCs w:val="24"/>
          <w:u w:val="single"/>
        </w:rPr>
      </w:pPr>
      <w:r>
        <w:rPr>
          <w:rFonts w:hint="eastAsia" w:asciiTheme="minorEastAsia" w:hAnsiTheme="minorEastAsia" w:eastAsiaTheme="minorEastAsia" w:cstheme="minorEastAsia"/>
          <w:b w:val="0"/>
          <w:bCs w:val="0"/>
          <w:sz w:val="24"/>
          <w:szCs w:val="24"/>
          <w:u w:val="single"/>
        </w:rPr>
        <w:t>为</w:t>
      </w:r>
      <w:r>
        <w:rPr>
          <w:rFonts w:hint="eastAsia" w:asciiTheme="minorEastAsia" w:hAnsiTheme="minorEastAsia" w:cstheme="minorEastAsia"/>
          <w:b w:val="0"/>
          <w:bCs w:val="0"/>
          <w:sz w:val="24"/>
          <w:szCs w:val="24"/>
          <w:u w:val="single"/>
          <w:lang w:eastAsia="zh-CN"/>
        </w:rPr>
        <w:t>三原县消防救援大队</w:t>
      </w:r>
      <w:r>
        <w:rPr>
          <w:rFonts w:hint="eastAsia" w:asciiTheme="minorEastAsia" w:hAnsiTheme="minorEastAsia" w:eastAsiaTheme="minorEastAsia" w:cstheme="minorEastAsia"/>
          <w:b w:val="0"/>
          <w:bCs w:val="0"/>
          <w:sz w:val="24"/>
          <w:szCs w:val="24"/>
          <w:u w:val="single"/>
        </w:rPr>
        <w:t>配送</w:t>
      </w:r>
      <w:r>
        <w:rPr>
          <w:rFonts w:hint="eastAsia" w:asciiTheme="minorEastAsia" w:hAnsiTheme="minorEastAsia" w:eastAsiaTheme="minorEastAsia" w:cstheme="minorEastAsia"/>
          <w:b w:val="0"/>
          <w:bCs w:val="0"/>
          <w:sz w:val="24"/>
          <w:szCs w:val="24"/>
          <w:u w:val="single"/>
          <w:lang w:val="en-US" w:eastAsia="zh-CN"/>
        </w:rPr>
        <w:t>主副食材等，</w:t>
      </w:r>
      <w:r>
        <w:rPr>
          <w:rFonts w:hint="eastAsia" w:asciiTheme="minorEastAsia" w:hAnsiTheme="minorEastAsia" w:cstheme="minorEastAsia"/>
          <w:b w:val="0"/>
          <w:bCs w:val="0"/>
          <w:sz w:val="24"/>
          <w:szCs w:val="24"/>
          <w:u w:val="single"/>
          <w:lang w:val="en-US" w:eastAsia="zh-CN"/>
        </w:rPr>
        <w:t>乙方</w:t>
      </w:r>
      <w:r>
        <w:rPr>
          <w:rFonts w:hint="eastAsia" w:asciiTheme="minorEastAsia" w:hAnsiTheme="minorEastAsia" w:eastAsiaTheme="minorEastAsia" w:cstheme="minorEastAsia"/>
          <w:b w:val="0"/>
          <w:bCs w:val="0"/>
          <w:sz w:val="24"/>
          <w:szCs w:val="24"/>
          <w:u w:val="single"/>
        </w:rPr>
        <w:t>每日在约定时间提供新鲜食材及原料，保证食</w:t>
      </w:r>
      <w:r>
        <w:rPr>
          <w:rFonts w:hint="eastAsia" w:asciiTheme="minorEastAsia" w:hAnsiTheme="minorEastAsia" w:eastAsiaTheme="minorEastAsia" w:cstheme="minorEastAsia"/>
          <w:b w:val="0"/>
          <w:bCs w:val="0"/>
          <w:sz w:val="24"/>
          <w:szCs w:val="24"/>
          <w:u w:val="single"/>
          <w:lang w:val="en-US" w:eastAsia="zh-CN"/>
        </w:rPr>
        <w:t>材质量</w:t>
      </w:r>
      <w:r>
        <w:rPr>
          <w:rFonts w:hint="eastAsia" w:asciiTheme="minorEastAsia" w:hAnsiTheme="minorEastAsia" w:eastAsiaTheme="minorEastAsia" w:cstheme="minorEastAsia"/>
          <w:b w:val="0"/>
          <w:bCs w:val="0"/>
          <w:sz w:val="24"/>
          <w:szCs w:val="24"/>
          <w:u w:val="single"/>
        </w:rPr>
        <w:t>。</w:t>
      </w:r>
    </w:p>
    <w:p w14:paraId="7A42454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二、合同价款</w:t>
      </w:r>
    </w:p>
    <w:p w14:paraId="0E30D1F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lang w:val="en-US" w:eastAsia="zh-CN"/>
        </w:rPr>
        <w:t>1、</w:t>
      </w:r>
      <w:r>
        <w:rPr>
          <w:rFonts w:hint="eastAsia" w:asciiTheme="minorEastAsia" w:hAnsiTheme="minorEastAsia" w:eastAsiaTheme="minorEastAsia" w:cstheme="minorEastAsia"/>
          <w:color w:val="000000"/>
          <w:sz w:val="24"/>
          <w:szCs w:val="24"/>
        </w:rPr>
        <w:t>甲方通过公开招标方式，接受了乙方以</w:t>
      </w:r>
      <w:r>
        <w:rPr>
          <w:rFonts w:hint="eastAsia" w:asciiTheme="minorEastAsia" w:hAnsiTheme="minorEastAsia" w:eastAsiaTheme="minorEastAsia" w:cstheme="minorEastAsia"/>
          <w:b/>
          <w:bCs/>
          <w:color w:val="000000"/>
          <w:sz w:val="24"/>
          <w:szCs w:val="24"/>
          <w:lang w:val="en-US" w:eastAsia="zh-CN"/>
        </w:rPr>
        <w:t>折扣率</w:t>
      </w:r>
      <w:r>
        <w:rPr>
          <w:rFonts w:hint="eastAsia" w:asciiTheme="minorEastAsia" w:hAnsiTheme="minorEastAsia" w:eastAsiaTheme="minorEastAsia" w:cstheme="minorEastAsia"/>
          <w:color w:val="000000"/>
          <w:sz w:val="24"/>
          <w:szCs w:val="24"/>
        </w:rPr>
        <w:t>大写</w:t>
      </w:r>
      <w:r>
        <w:rPr>
          <w:rFonts w:hint="eastAsia" w:asciiTheme="minorEastAsia" w:hAnsiTheme="minorEastAsia" w:eastAsiaTheme="minorEastAsia" w:cstheme="minorEastAsia"/>
          <w:color w:val="000000"/>
          <w:sz w:val="24"/>
          <w:szCs w:val="24"/>
          <w:u w:val="single"/>
          <w:lang w:val="en-US" w:eastAsia="zh-CN"/>
        </w:rPr>
        <w:t xml:space="preserve">       </w:t>
      </w:r>
      <w:r>
        <w:rPr>
          <w:rFonts w:hint="eastAsia" w:asciiTheme="minorEastAsia" w:hAnsiTheme="minorEastAsia" w:eastAsiaTheme="minorEastAsia" w:cstheme="minorEastAsia"/>
          <w:color w:val="000000"/>
          <w:sz w:val="24"/>
          <w:szCs w:val="24"/>
          <w:u w:val="single"/>
        </w:rPr>
        <w:t xml:space="preserve"> (以下简称“合同价”)</w:t>
      </w:r>
      <w:r>
        <w:rPr>
          <w:rFonts w:hint="eastAsia" w:asciiTheme="minorEastAsia" w:hAnsiTheme="minorEastAsia" w:eastAsiaTheme="minorEastAsia" w:cstheme="minorEastAsia"/>
          <w:color w:val="000000"/>
          <w:sz w:val="24"/>
          <w:szCs w:val="24"/>
        </w:rPr>
        <w:t>提供合同条款所述服务</w:t>
      </w:r>
      <w:r>
        <w:rPr>
          <w:rFonts w:hint="eastAsia" w:asciiTheme="minorEastAsia" w:hAnsiTheme="minorEastAsia" w:eastAsiaTheme="minorEastAsia" w:cstheme="minorEastAsia"/>
          <w:sz w:val="24"/>
          <w:szCs w:val="24"/>
        </w:rPr>
        <w:t>。</w:t>
      </w:r>
    </w:p>
    <w:p w14:paraId="7C84D19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合同总价包括但不限于：人工费、车辆交通费、住宿费、管理费、办公、人员人身相关保险费、项目实施费用以及国家按现行税率征收的一切税费、不可抗力因素的可预见和不可预见费用等。</w:t>
      </w:r>
    </w:p>
    <w:p w14:paraId="77F4436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定价机制</w:t>
      </w:r>
      <w:r>
        <w:rPr>
          <w:rFonts w:hint="eastAsia" w:asciiTheme="minorEastAsia" w:hAnsiTheme="minorEastAsia" w:eastAsiaTheme="minorEastAsia" w:cstheme="minorEastAsia"/>
          <w:sz w:val="24"/>
          <w:szCs w:val="24"/>
          <w:lang w:eastAsia="zh-CN"/>
        </w:rPr>
        <w:t>：</w:t>
      </w:r>
      <w:r>
        <w:rPr>
          <w:rFonts w:hint="eastAsia" w:asciiTheme="minorEastAsia" w:hAnsiTheme="minorEastAsia" w:cstheme="minorEastAsia"/>
          <w:b w:val="0"/>
          <w:bCs w:val="0"/>
          <w:color w:val="auto"/>
          <w:sz w:val="24"/>
          <w:szCs w:val="24"/>
          <w:lang w:val="en-US" w:eastAsia="zh-CN"/>
        </w:rPr>
        <w:t>甲方</w:t>
      </w:r>
      <w:r>
        <w:rPr>
          <w:rFonts w:hint="eastAsia" w:asciiTheme="minorEastAsia" w:hAnsiTheme="minorEastAsia" w:eastAsiaTheme="minorEastAsia" w:cstheme="minorEastAsia"/>
          <w:b w:val="0"/>
          <w:bCs w:val="0"/>
          <w:color w:val="auto"/>
          <w:sz w:val="24"/>
          <w:szCs w:val="24"/>
        </w:rPr>
        <w:t>根据西安市农业农村局相近日期(周一至周五)公布的价格行情中零售市场每个市场及品目的平均价格</w:t>
      </w:r>
      <w:r>
        <w:rPr>
          <w:rFonts w:hint="eastAsia" w:asciiTheme="minorEastAsia" w:hAnsiTheme="minorEastAsia" w:eastAsiaTheme="minorEastAsia" w:cstheme="minorEastAsia"/>
          <w:b w:val="0"/>
          <w:bCs w:val="0"/>
          <w:color w:val="auto"/>
          <w:sz w:val="24"/>
          <w:szCs w:val="24"/>
          <w:lang w:val="en-US" w:eastAsia="zh-CN"/>
        </w:rPr>
        <w:t>以及各个供应市场的食材价格、大型超市食材价格作</w:t>
      </w:r>
      <w:r>
        <w:rPr>
          <w:rFonts w:hint="eastAsia" w:asciiTheme="minorEastAsia" w:hAnsiTheme="minorEastAsia" w:eastAsiaTheme="minorEastAsia" w:cstheme="minorEastAsia"/>
          <w:b w:val="0"/>
          <w:bCs w:val="0"/>
          <w:color w:val="auto"/>
          <w:sz w:val="24"/>
          <w:szCs w:val="24"/>
        </w:rPr>
        <w:t>为</w:t>
      </w:r>
      <w:r>
        <w:rPr>
          <w:rFonts w:hint="eastAsia" w:asciiTheme="minorEastAsia" w:hAnsiTheme="minorEastAsia" w:eastAsiaTheme="minorEastAsia" w:cstheme="minorEastAsia"/>
          <w:b w:val="0"/>
          <w:bCs w:val="0"/>
          <w:color w:val="auto"/>
          <w:sz w:val="24"/>
          <w:szCs w:val="24"/>
          <w:lang w:val="en-US" w:eastAsia="zh-CN"/>
        </w:rPr>
        <w:t>合同履行中每阶段</w:t>
      </w:r>
      <w:r>
        <w:rPr>
          <w:rFonts w:hint="eastAsia" w:asciiTheme="minorEastAsia" w:hAnsiTheme="minorEastAsia" w:eastAsiaTheme="minorEastAsia" w:cstheme="minorEastAsia"/>
          <w:b w:val="0"/>
          <w:bCs w:val="0"/>
          <w:color w:val="auto"/>
          <w:sz w:val="24"/>
          <w:szCs w:val="24"/>
        </w:rPr>
        <w:t>食材价格</w:t>
      </w:r>
      <w:r>
        <w:rPr>
          <w:rFonts w:hint="eastAsia" w:asciiTheme="minorEastAsia" w:hAnsiTheme="minorEastAsia" w:eastAsiaTheme="minorEastAsia" w:cstheme="minorEastAsia"/>
          <w:b w:val="0"/>
          <w:bCs w:val="0"/>
          <w:color w:val="auto"/>
          <w:sz w:val="24"/>
          <w:szCs w:val="24"/>
          <w:lang w:val="en-US" w:eastAsia="zh-CN"/>
        </w:rPr>
        <w:t>定价</w:t>
      </w:r>
      <w:r>
        <w:rPr>
          <w:rFonts w:hint="eastAsia" w:asciiTheme="minorEastAsia" w:hAnsiTheme="minorEastAsia" w:eastAsiaTheme="minorEastAsia" w:cstheme="minorEastAsia"/>
          <w:b w:val="0"/>
          <w:bCs w:val="0"/>
          <w:color w:val="auto"/>
          <w:sz w:val="24"/>
          <w:szCs w:val="24"/>
        </w:rPr>
        <w:t>依据，此价格行情中没有的品目以</w:t>
      </w:r>
      <w:r>
        <w:rPr>
          <w:rFonts w:hint="eastAsia" w:asciiTheme="minorEastAsia" w:hAnsiTheme="minorEastAsia" w:cstheme="minorEastAsia"/>
          <w:b w:val="0"/>
          <w:bCs w:val="0"/>
          <w:color w:val="auto"/>
          <w:sz w:val="24"/>
          <w:szCs w:val="24"/>
          <w:lang w:eastAsia="zh-CN"/>
        </w:rPr>
        <w:t>甲方</w:t>
      </w:r>
      <w:r>
        <w:rPr>
          <w:rFonts w:hint="eastAsia" w:asciiTheme="minorEastAsia" w:hAnsiTheme="minorEastAsia" w:eastAsiaTheme="minorEastAsia" w:cstheme="minorEastAsia"/>
          <w:b w:val="0"/>
          <w:bCs w:val="0"/>
          <w:color w:val="auto"/>
          <w:sz w:val="24"/>
          <w:szCs w:val="24"/>
        </w:rPr>
        <w:t>及</w:t>
      </w:r>
      <w:r>
        <w:rPr>
          <w:rFonts w:hint="eastAsia" w:asciiTheme="minorEastAsia" w:hAnsiTheme="minorEastAsia" w:cstheme="minorEastAsia"/>
          <w:b w:val="0"/>
          <w:bCs w:val="0"/>
          <w:color w:val="auto"/>
          <w:sz w:val="24"/>
          <w:szCs w:val="24"/>
          <w:lang w:eastAsia="zh-CN"/>
        </w:rPr>
        <w:t>乙方</w:t>
      </w:r>
      <w:r>
        <w:rPr>
          <w:rFonts w:hint="eastAsia" w:asciiTheme="minorEastAsia" w:hAnsiTheme="minorEastAsia" w:eastAsiaTheme="minorEastAsia" w:cstheme="minorEastAsia"/>
          <w:b w:val="0"/>
          <w:bCs w:val="0"/>
          <w:color w:val="auto"/>
          <w:sz w:val="24"/>
          <w:szCs w:val="24"/>
        </w:rPr>
        <w:t>共同确定的的市场询价为依据，按实际发生的量进行据实结算</w:t>
      </w:r>
      <w:r>
        <w:rPr>
          <w:rFonts w:hint="eastAsia" w:asciiTheme="minorEastAsia" w:hAnsiTheme="minorEastAsia" w:eastAsiaTheme="minorEastAsia" w:cstheme="minorEastAsia"/>
          <w:sz w:val="24"/>
          <w:szCs w:val="24"/>
        </w:rPr>
        <w:t>。</w:t>
      </w:r>
    </w:p>
    <w:p w14:paraId="7BD1F03D">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三、付款方式</w:t>
      </w:r>
    </w:p>
    <w:p w14:paraId="24F07F46">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1、合同签订后，按季度支付，中标人在接受</w:t>
      </w:r>
      <w:r>
        <w:rPr>
          <w:rFonts w:hint="eastAsia" w:asciiTheme="minorEastAsia" w:hAnsi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lang w:val="en-US" w:eastAsia="zh-CN"/>
        </w:rPr>
        <w:t>的每一笔付款前，应向</w:t>
      </w:r>
      <w:r>
        <w:rPr>
          <w:rFonts w:hint="eastAsia" w:asciiTheme="minorEastAsia" w:hAnsiTheme="minorEastAsia" w:cstheme="minorEastAsia"/>
          <w:sz w:val="24"/>
          <w:szCs w:val="24"/>
          <w:highlight w:val="none"/>
          <w:lang w:val="en-US" w:eastAsia="zh-CN"/>
        </w:rPr>
        <w:t>甲方</w:t>
      </w:r>
      <w:r>
        <w:rPr>
          <w:rFonts w:hint="eastAsia" w:asciiTheme="minorEastAsia" w:hAnsiTheme="minorEastAsia" w:eastAsiaTheme="minorEastAsia" w:cstheme="minorEastAsia"/>
          <w:sz w:val="24"/>
          <w:szCs w:val="24"/>
          <w:highlight w:val="none"/>
          <w:lang w:val="en-US" w:eastAsia="zh-CN"/>
        </w:rPr>
        <w:t>开具相应金额的发票。</w:t>
      </w:r>
    </w:p>
    <w:p w14:paraId="2795B2E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支付方式：银行转账。</w:t>
      </w:r>
    </w:p>
    <w:p w14:paraId="7F76F4F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结算方式：乙方在接受付款前开具等额合法有效的增值税专用发票给甲方。</w:t>
      </w:r>
    </w:p>
    <w:p w14:paraId="3479F11B">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五、服务期限、地点：</w:t>
      </w:r>
    </w:p>
    <w:p w14:paraId="3A0A1488">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1、服务期限：</w:t>
      </w:r>
      <w:r>
        <w:rPr>
          <w:rFonts w:hint="eastAsia" w:asciiTheme="minorEastAsia" w:hAnsiTheme="minorEastAsia" w:eastAsiaTheme="minorEastAsia" w:cstheme="minorEastAsia"/>
          <w:sz w:val="24"/>
          <w:szCs w:val="24"/>
          <w:highlight w:val="none"/>
          <w:lang w:val="en-US" w:eastAsia="zh-Hans"/>
        </w:rPr>
        <w:t>本项目一招三年，合同一年一签。每年合同期满前，在采购人考核合格的情况下,采购人有权决定是否续签合同，但是累计合同履行期限不超过三年，本次成交价格，即为第二年和第三年的采购合同价。</w:t>
      </w:r>
    </w:p>
    <w:p w14:paraId="5A4EDC5F">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2、服务地点：</w:t>
      </w:r>
      <w:r>
        <w:rPr>
          <w:rFonts w:hint="eastAsia" w:asciiTheme="minorEastAsia" w:hAnsiTheme="minorEastAsia" w:cstheme="minorEastAsia"/>
          <w:sz w:val="24"/>
          <w:szCs w:val="24"/>
          <w:u w:val="single"/>
          <w:lang w:val="en-US" w:eastAsia="zh-CN"/>
        </w:rPr>
        <w:t>三原县消防救援大队</w:t>
      </w:r>
      <w:r>
        <w:rPr>
          <w:rFonts w:hint="eastAsia" w:asciiTheme="minorEastAsia" w:hAnsiTheme="minorEastAsia" w:eastAsiaTheme="minorEastAsia" w:cstheme="minorEastAsia"/>
          <w:sz w:val="24"/>
          <w:szCs w:val="24"/>
          <w:highlight w:val="none"/>
          <w:lang w:val="en-US" w:eastAsia="zh-CN"/>
        </w:rPr>
        <w:t>。</w:t>
      </w:r>
    </w:p>
    <w:p w14:paraId="4D459081">
      <w:pPr>
        <w:keepNext w:val="0"/>
        <w:keepLines w:val="0"/>
        <w:pageBreakBefore w:val="0"/>
        <w:kinsoku/>
        <w:wordWrap/>
        <w:overflowPunct/>
        <w:topLinePunct w:val="0"/>
        <w:bidi w:val="0"/>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3、乙方指派的项目负责人为：</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，性别：</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，身份证号：</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，联系电话：</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lang w:val="en-US" w:eastAsia="zh-CN"/>
        </w:rPr>
        <w:t>。</w:t>
      </w:r>
    </w:p>
    <w:p w14:paraId="55616F32">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六、</w:t>
      </w:r>
      <w:r>
        <w:rPr>
          <w:rFonts w:hint="eastAsia" w:asciiTheme="minorEastAsia" w:hAnsiTheme="minorEastAsia" w:eastAsiaTheme="minorEastAsia" w:cstheme="minorEastAsia"/>
          <w:b/>
          <w:bCs/>
          <w:sz w:val="24"/>
          <w:szCs w:val="24"/>
          <w:lang w:val="en-US" w:eastAsia="zh-CN"/>
        </w:rPr>
        <w:t>服务内容及要求</w:t>
      </w:r>
    </w:p>
    <w:p w14:paraId="26CA1B3B">
      <w:pPr>
        <w:bidi w:val="0"/>
        <w:rPr>
          <w:rFonts w:hint="eastAsia" w:asciiTheme="minorEastAsia" w:hAnsiTheme="minorEastAsia" w:eastAsiaTheme="minorEastAsia" w:cstheme="minorEastAsia"/>
          <w:b w:val="0"/>
          <w:bCs w:val="0"/>
          <w:sz w:val="24"/>
          <w:szCs w:val="24"/>
          <w:highlight w:val="none"/>
        </w:rPr>
      </w:pPr>
      <w:r>
        <w:rPr>
          <w:rFonts w:hint="eastAsia" w:asciiTheme="minorEastAsia" w:hAnsiTheme="minorEastAsia" w:cstheme="minorEastAsia"/>
          <w:b w:val="0"/>
          <w:bCs w:val="0"/>
          <w:sz w:val="24"/>
          <w:szCs w:val="24"/>
          <w:highlight w:val="none"/>
          <w:lang w:val="en-US" w:eastAsia="zh-CN"/>
        </w:rPr>
        <w:t>（一）</w:t>
      </w:r>
      <w:r>
        <w:rPr>
          <w:rFonts w:hint="eastAsia" w:asciiTheme="minorEastAsia" w:hAnsiTheme="minorEastAsia" w:eastAsiaTheme="minorEastAsia" w:cstheme="minorEastAsia"/>
          <w:b w:val="0"/>
          <w:bCs w:val="0"/>
          <w:sz w:val="24"/>
          <w:szCs w:val="24"/>
          <w:highlight w:val="none"/>
          <w:lang w:val="en-US" w:eastAsia="zh-Hans"/>
        </w:rPr>
        <w:t>、</w:t>
      </w:r>
      <w:r>
        <w:rPr>
          <w:rFonts w:hint="eastAsia" w:asciiTheme="minorEastAsia" w:hAnsiTheme="minorEastAsia" w:eastAsiaTheme="minorEastAsia" w:cstheme="minorEastAsia"/>
          <w:b w:val="0"/>
          <w:bCs w:val="0"/>
          <w:sz w:val="24"/>
          <w:szCs w:val="24"/>
          <w:highlight w:val="none"/>
        </w:rPr>
        <w:t>供货品种及</w:t>
      </w:r>
      <w:r>
        <w:rPr>
          <w:rFonts w:hint="eastAsia" w:asciiTheme="minorEastAsia" w:hAnsiTheme="minorEastAsia" w:eastAsiaTheme="minorEastAsia" w:cstheme="minorEastAsia"/>
          <w:b w:val="0"/>
          <w:bCs w:val="0"/>
          <w:sz w:val="24"/>
          <w:szCs w:val="24"/>
          <w:highlight w:val="none"/>
          <w:lang w:val="en-US" w:eastAsia="zh-CN"/>
        </w:rPr>
        <w:t>质量</w:t>
      </w:r>
      <w:r>
        <w:rPr>
          <w:rFonts w:hint="eastAsia" w:asciiTheme="minorEastAsia" w:hAnsiTheme="minorEastAsia" w:eastAsiaTheme="minorEastAsia" w:cstheme="minorEastAsia"/>
          <w:b w:val="0"/>
          <w:bCs w:val="0"/>
          <w:sz w:val="24"/>
          <w:szCs w:val="24"/>
          <w:highlight w:val="none"/>
        </w:rPr>
        <w:t>要求：</w:t>
      </w:r>
    </w:p>
    <w:p w14:paraId="7E2D20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1.大米：独立包装，质量符合国家标准GB/T1354-2018一级标准要求，无掺杂、无沙石，碎米少，无黄粒米，大米包装袋上印有大米品名、等级、数量、出厂名、生产日期、厂家地址及其电话，且为非转基因水稻。</w:t>
      </w:r>
    </w:p>
    <w:p w14:paraId="309A16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2.小麦粉：独立包装，质量符合GB/T1355-2021标准要求；便于运输、储存，外包装必须符合 GB7718-2011《食品安全国家标准预包装食品标签通则》，且为非转基因小麦粉；</w:t>
      </w:r>
    </w:p>
    <w:p w14:paraId="660762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3、食用油：独立包装，质量符合国家标准GB 2716-2018《食品安全国家标准植物油》；便于运输、储存，外包装必须符合GB7718-2011《食品安全国家标准预包装食品标签通则》；</w:t>
      </w:r>
    </w:p>
    <w:p w14:paraId="118ECA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4、杂粮（包含但不限于江米、黑米、薏米、小米、江豆、黄豆、绿豆等），质量符合国家标准 GB 2715-2016标准要求；便于运输、储存；</w:t>
      </w:r>
    </w:p>
    <w:p w14:paraId="14D2CF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5、坚果（包含但不限于小红花生米等）：质量符合GB 2715-2016及GB 19300-2014标准要求；便于运输、储存；</w:t>
      </w:r>
    </w:p>
    <w:p w14:paraId="04E7F7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6、肉类（包含但不限于精排骨、精品五花肉、后退肉、前腿肉、精瘦肉、鸡块、鸡脯肉、琵琶鸡腿、羊肉、牛肉等），质量符合GB 2707-2016及相关食品安全标准，代理销售企业具备鲜肉销售、专业运输配送能力。</w:t>
      </w:r>
    </w:p>
    <w:p w14:paraId="5506F2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水产品：（包含但不限于黑鱼、鲈鱼等）必须鲜活，且符合食品卫生相关标准及法规要求。体表光滑无病灶，有鲜鱼鳞片完整，无鳞鱼无浑浊粘液，肉质干燥，紧密，呈白色或淡黄色眼球外突饱满透明，鳃丝清晰鲜红或暗红，保持活体状态固有本色，无异味，鱼类肌肉紧密有弹性，内脏清晰可辨无腐烂。符合《食品安全国家标准鲜、冻动物性水产品》GB 2733-2015标准。</w:t>
      </w:r>
    </w:p>
    <w:p w14:paraId="3F0AD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冻品：（包含但不限于虾仁、虾尾等）鲜、冻肉制品皮肤有光泽，肌肉切面有光泽，有该禽类、肉类固有色泽，外表微干或微湿润、不粘手有弹性，肌肉指压后的凹陷立即恢复具有该产品固有的气味。解冻损失率不大于5%，预煮制出成率不小于60%。冻品外包装需完整，无破损，无不封口现象，所供产品箱（袋）内无杂质，箱头有生产企业名称，厂址、电话、生产日期，保质期，且配送食品剩余保质期不少于质保期三分之二。</w:t>
      </w:r>
    </w:p>
    <w:p w14:paraId="45CD69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9、蛋类：（包含但不限于鸡蛋、鹌鹑蛋等）执行标准符合 GB2749-2015；执行国家标准并出具动物防疫条件合格证和产品检验报告，无公害、绿色或者有机，其他指标符合国家及行业相关标准；</w:t>
      </w:r>
    </w:p>
    <w:p w14:paraId="40C60D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10、奶类（包含但不限于纯牛奶、酸牛奶等）纯牛奶，执行 GB25190-2010《食品安全国家标准灭菌乳》；酸牛奶：执行 GB19302-2025《食品安全国家标准发酵乳》；产品包装需清晰标注生产厂家、规格、出厂日期、质保期等完整信息，且通过相关质量认证。</w:t>
      </w:r>
    </w:p>
    <w:p w14:paraId="2EA4CC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蔬菜（包含但不限于叶生菜、大土豆、黄瓜、龙须菜、圆茄、冬瓜、苦菊、西红柿、娃娃菜、花白、白菜、菠菜、蒜苔、红萝卜等）当季各类新鲜蔬菜以及大棚种植蔬菜，为无公害、绿色产品，质量符合无公害 / 绿色食品相关标准及 GB 2763-2026 农药残留要求；按采购人要求配送到指定地点，每日配送一次（易变质特性）；</w:t>
      </w:r>
    </w:p>
    <w:p w14:paraId="6FB627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豆制品：（包含但不限于豆腐、黄豆芽等）须保证食材干净、不含非食品用化学物质、按统一标准加工、码放整齐、无须二次处理可以直接进行熟加工，具有食品生产许可证。相关检测结果须符合食品安全国家标准《豆制品》（GB 2712-2014）、《豆腐干》（GB/T 23494-2009）、《豆芽卫生标准》（GB 22556-2008）、《食品安全国家标准 食品微生物学检验豆制品采样和检样处理》（GB 4789.23-2024）。</w:t>
      </w:r>
    </w:p>
    <w:p w14:paraId="3AFF56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水果：根据采购人要求提供当季各类水果（包含但不限于西瓜、圣女果、香蕉、耙耙柑、沃柑、苹果、菠萝、哈密瓜等），须保证①新鲜度要求：水量充足，无空壳、皱皮、干涩现象；色泽新鲜、不变色。②机械伤：无外力造成的伤害。如挤伤、压伤、碰伤、切口、裂伤。③病虫害：无不良病虫害，表面、中间无虫卵遗留，无虫眼。④成熟度：适中，无过熟、未熟现象。新鲜，正常色泽，果质优良，气味正常；无腐烂及虫蛀，无发霉，无失水枯萎。相关检测结果须符合《食品中农药最大残留限量》（GB 2763-2021）、《食品中农药最大残留限量》（GB 2763-2026）、《食品中污染物限量（含第1号修改单）》（GB2762-2022）及其他相关国家强制性标准，农药残留及重金属不得超标，不得含有国家全面禁止使用的农药成分。</w:t>
      </w:r>
    </w:p>
    <w:p w14:paraId="3D6D9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pPr>
      <w:r>
        <w:rPr>
          <w:rFonts w:hint="eastAsia" w:ascii="宋体" w:hAnsi="宋体" w:eastAsia="宋体" w:cs="宋体"/>
          <w:sz w:val="24"/>
          <w:szCs w:val="24"/>
        </w:rPr>
        <w:t>14、干货、调料（包含但不限于加碘精制盐、味精、鸡精、味极鲜、蒸鱼豉油、料酒、十三香红烧酱料、蚝油、香醋、白醋、辣鲜露、十三香等），外观无霉变、无斑点、无腐烂变质，有物品应有的正常气味、无异味，所提供的干货调料类产品外包装无污物、无泄漏，无胀袋或鼓盖现象，无变质发霉现象。色泽正常，具有该品种固有的香味，滋味无异味，油酱均匀的酱体或无结块的粉状固体，封口平整，无破包，夹包，漏包，无污染。其它干货、调料、酱腌菜都必须符合产品应有的卫生安全标准。所有的调料干菜必须符合国家卫生标准和质量要求，无过期食品和邻近保质期食品，到期时间不低于保质期的三分之二。不含有转基因原材料、外包装无污物、无泄漏，无胀袋或胖听或鼓盖现象，无变质发霉现象。色泽正常，具有该品种固有的香味，滋味无异味，油酱均匀的酱体或无结块的粉状固体，封口平整，无破包，夹包，漏包，无污染。外包装符合 GB7718-2011《食品安全国家标准预包装食品标签通则》。</w:t>
      </w:r>
    </w:p>
    <w:p w14:paraId="2D188D86">
      <w:pPr>
        <w:keepNext w:val="0"/>
        <w:keepLines w:val="0"/>
        <w:pageBreakBefore w:val="0"/>
        <w:kinsoku/>
        <w:wordWrap/>
        <w:overflowPunct/>
        <w:topLinePunct w:val="0"/>
        <w:bidi w:val="0"/>
        <w:snapToGrid w:val="0"/>
        <w:spacing w:line="360" w:lineRule="auto"/>
        <w:ind w:firstLine="48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七、</w:t>
      </w:r>
      <w:r>
        <w:rPr>
          <w:rFonts w:hint="eastAsia" w:asciiTheme="minorEastAsia" w:hAnsiTheme="minorEastAsia" w:eastAsiaTheme="minorEastAsia" w:cstheme="minorEastAsia"/>
          <w:b/>
          <w:bCs/>
          <w:sz w:val="24"/>
          <w:szCs w:val="24"/>
          <w:lang w:val="en-US" w:eastAsia="zh-CN"/>
        </w:rPr>
        <w:t>配送要求：</w:t>
      </w:r>
    </w:p>
    <w:p w14:paraId="45C54186">
      <w:pPr>
        <w:keepNext w:val="0"/>
        <w:keepLines w:val="0"/>
        <w:pageBreakBefore w:val="0"/>
        <w:kinsoku/>
        <w:wordWrap/>
        <w:overflowPunct/>
        <w:topLinePunct w:val="0"/>
        <w:bidi w:val="0"/>
        <w:snapToGrid w:val="0"/>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1、采购人提供具体食材采购清单，列明采购品目，数量及品牌（若有），投标人必须按照采购人要求的种类、规格进行供货。按照采购人要求的时间前将各类需求食材配送至采购人指定地点。</w:t>
      </w:r>
    </w:p>
    <w:p w14:paraId="25587298">
      <w:pPr>
        <w:keepNext w:val="0"/>
        <w:keepLines w:val="0"/>
        <w:pageBreakBefore w:val="0"/>
        <w:kinsoku/>
        <w:wordWrap/>
        <w:overflowPunct/>
        <w:topLinePunct w:val="0"/>
        <w:bidi w:val="0"/>
        <w:snapToGrid w:val="0"/>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2、所有食材采购均以采购人通知为准，采购人有权根据实际需求量随时调整采购计划及供货时间段，具体配送种类以采购人前一天的采购单为准，食材到达现场后采购人根据采购单及配送单进行食材验收，并在验收单上签字留存。</w:t>
      </w:r>
    </w:p>
    <w:p w14:paraId="497F3F24">
      <w:pPr>
        <w:keepNext w:val="0"/>
        <w:keepLines w:val="0"/>
        <w:pageBreakBefore w:val="0"/>
        <w:kinsoku/>
        <w:wordWrap/>
        <w:overflowPunct/>
        <w:topLinePunct w:val="0"/>
        <w:bidi w:val="0"/>
        <w:snapToGrid w:val="0"/>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3、投标人接到配送定单后，由专人负责分拣、配送。所有食材投标人必须按照采购人要求的种类、规格进行供货，满足采购人使用需求，如有某些菜品出现市场断档，当日及时告知采购人，以便采购人做出必要调整，装卸费、送货费用及运输安全由投标人承担。</w:t>
      </w:r>
    </w:p>
    <w:p w14:paraId="0A74AEBE">
      <w:pPr>
        <w:keepNext w:val="0"/>
        <w:keepLines w:val="0"/>
        <w:pageBreakBefore w:val="0"/>
        <w:kinsoku/>
        <w:wordWrap/>
        <w:overflowPunct/>
        <w:topLinePunct w:val="0"/>
        <w:bidi w:val="0"/>
        <w:snapToGrid w:val="0"/>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4、投标人自备送货车（根据所送食材类别提供冷藏或恒温车辆），运输车厢的内仓应使用抗腐蚀、防潮，易清洁消毒的材料。车厢内无不良气味、异味；运输途中严防日晒、雨淋，注意通风散热。食材堆放科学合理，避免造成食材的交叉污染；如对温度有要求的食品应确定食品的温度，采购人有权随时抽查。</w:t>
      </w:r>
    </w:p>
    <w:p w14:paraId="265B6920">
      <w:pPr>
        <w:keepNext w:val="0"/>
        <w:keepLines w:val="0"/>
        <w:pageBreakBefore w:val="0"/>
        <w:kinsoku/>
        <w:wordWrap/>
        <w:overflowPunct/>
        <w:topLinePunct w:val="0"/>
        <w:bidi w:val="0"/>
        <w:snapToGrid w:val="0"/>
        <w:spacing w:line="360" w:lineRule="auto"/>
        <w:ind w:firstLine="480"/>
        <w:jc w:val="both"/>
      </w:pPr>
      <w:r>
        <w:rPr>
          <w:rFonts w:hint="eastAsia" w:ascii="宋体" w:hAnsi="宋体" w:eastAsia="宋体" w:cs="宋体"/>
          <w:sz w:val="24"/>
          <w:szCs w:val="24"/>
        </w:rPr>
        <w:t>5、配送司机须具备相应的驾驶证，身体健康、政治清白、无犯罪记录；无吸毒史；无高血压病、冠心病等疾病病史，具有良好的服务意识，较强的沟通能力，具有吃苦耐劳精神，工作认真细致，有良好的组织纪律性。</w:t>
      </w:r>
    </w:p>
    <w:p w14:paraId="31099ADF">
      <w:pPr>
        <w:keepNext w:val="0"/>
        <w:keepLines w:val="0"/>
        <w:pageBreakBefore w:val="0"/>
        <w:kinsoku/>
        <w:wordWrap/>
        <w:overflowPunct/>
        <w:topLinePunct w:val="0"/>
        <w:bidi w:val="0"/>
        <w:snapToGrid w:val="0"/>
        <w:spacing w:line="360" w:lineRule="auto"/>
        <w:ind w:firstLine="48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八、供应责任：</w:t>
      </w:r>
    </w:p>
    <w:p w14:paraId="13047095">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（1）投标人须保证所供食材均为符合国家卫生、质量检验标准的正规产品，保证配送品种完全满足采购人要求。所有原材料进行不定期抽检，确认无任何食品安全问题。</w:t>
      </w:r>
    </w:p>
    <w:p w14:paraId="053579E0">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（2）食材没有按时按要求配送到位，影响采购人餐厅正常开餐的，以当日需求计划总量两倍价款赔付当日损失，同时采购人将对投标人进行处罚。</w:t>
      </w:r>
    </w:p>
    <w:p w14:paraId="12EFC362">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（3）食材在验收时有不符合要求的，一律退回，投标人无条件重新更换配送货物，更换后仍然不符合标准的，采购人有权对投标人处以一定金额的罚款。并根据情节轻重作出相应处罚。处罚金在货款中扣除。</w:t>
      </w:r>
    </w:p>
    <w:p w14:paraId="0531021E">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4）任何因原材料质量问题导致的食品安全或食物中毒责任，在确认因原材料品种引发出现问题导致的，由该投标人承担全部法律责任和所造成的一切经济损失赔偿责任，除对采购人进行赔付外，采购人有权单方终止合同。</w:t>
      </w:r>
    </w:p>
    <w:p w14:paraId="47FC4ACB">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（5）配送过程中发生的任何安全事故等均由投标人独立承担责任。</w:t>
      </w:r>
    </w:p>
    <w:p w14:paraId="3526811B">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（6）投标人在校内运输物品，应遵守规章制度，服从指挥。由此造成的安全事故，由投标人独立承担一切刑事、民事责任。</w:t>
      </w:r>
    </w:p>
    <w:p w14:paraId="6C2B0574">
      <w:pPr>
        <w:pStyle w:val="8"/>
        <w:keepNext w:val="0"/>
        <w:keepLines w:val="0"/>
        <w:widowControl/>
        <w:suppressLineNumbers w:val="0"/>
        <w:spacing w:before="0" w:beforeAutospacing="1" w:after="0" w:afterAutospacing="1"/>
        <w:ind w:left="0" w:right="0" w:firstLine="493"/>
        <w:jc w:val="both"/>
      </w:pPr>
      <w:r>
        <w:rPr>
          <w:rFonts w:hint="eastAsia" w:ascii="宋体" w:hAnsi="宋体" w:eastAsia="宋体" w:cs="宋体"/>
          <w:sz w:val="24"/>
          <w:szCs w:val="24"/>
        </w:rPr>
        <w:t>（7）配送中所涉及税收及相应费用由投标人自行承担，所需证、照等均由投标人自行办理。</w:t>
      </w:r>
    </w:p>
    <w:p w14:paraId="5B7C40FC">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九</w:t>
      </w:r>
      <w:r>
        <w:rPr>
          <w:rFonts w:hint="eastAsia" w:asciiTheme="minorEastAsia" w:hAnsiTheme="minorEastAsia" w:eastAsiaTheme="minorEastAsia" w:cstheme="minorEastAsia"/>
          <w:b/>
          <w:bCs/>
          <w:sz w:val="24"/>
          <w:szCs w:val="24"/>
        </w:rPr>
        <w:t>、甲乙双方的责任</w:t>
      </w:r>
    </w:p>
    <w:p w14:paraId="2C3D117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（一）甲方职责：</w:t>
      </w:r>
    </w:p>
    <w:p w14:paraId="58501F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1、在乙方无违约的前提下，甲方委托乙方作为定点采购配送单位，承担本合同类的餐厅原材料采购配送工作。</w:t>
      </w:r>
    </w:p>
    <w:p w14:paraId="06A8953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2、甲方有权监督乙方的原材料采购配送工作。</w:t>
      </w:r>
    </w:p>
    <w:p w14:paraId="1768D9F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3、甲方对乙方所配送食材进行检查，发现过期，损坏等不合格食材，甲方有权拒收，以确保食材安全卫生。</w:t>
      </w:r>
    </w:p>
    <w:p w14:paraId="0BCB1A4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4、甲方如有特殊情况，可提前微信图片或电话通知乙方临时增加食材配送工作，乙方应给予积极配合。</w:t>
      </w:r>
    </w:p>
    <w:p w14:paraId="7A9D248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5、乙方配送的同品种2/3食材的价格高于他人价格，经双方协商无果后，甲方可以提前终止合同。</w:t>
      </w:r>
    </w:p>
    <w:p w14:paraId="1B695F1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（二）乙方职责：</w:t>
      </w:r>
    </w:p>
    <w:p w14:paraId="490431A3">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1、乙方须按本合同要求，保质保量完成甲方的原材料采购配送工作。</w:t>
      </w:r>
    </w:p>
    <w:p w14:paraId="0D2AD29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2、乙方应指派专人负责甲方原材料采购配送工作，及时收集甲方反馈意见；甲方指定专人检查接收配送产品，如发现不合格产品甲方有权要求乙方更换合格产品。</w:t>
      </w:r>
    </w:p>
    <w:p w14:paraId="3D308E07">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3、乙方在配送过程中应做到安全有序，自觉遵守甲方各项安全管理规章制度。乙方为甲方唯一食材</w:t>
      </w:r>
      <w:r>
        <w:rPr>
          <w:rFonts w:hint="eastAsia" w:asciiTheme="minorEastAsia" w:hAnsiTheme="minorEastAsia" w:cstheme="minorEastAsia"/>
          <w:sz w:val="24"/>
          <w:szCs w:val="24"/>
          <w:lang w:eastAsia="zh-CN"/>
        </w:rPr>
        <w:t>乙方</w:t>
      </w:r>
      <w:r>
        <w:rPr>
          <w:rFonts w:hint="eastAsia" w:asciiTheme="minorEastAsia" w:hAnsiTheme="minorEastAsia" w:eastAsiaTheme="minorEastAsia" w:cstheme="minorEastAsia"/>
          <w:sz w:val="24"/>
          <w:szCs w:val="24"/>
        </w:rPr>
        <w:t>，甲方私自采购食材而出现的食物中毒或其他食品安全事故，其后果由甲方承担。</w:t>
      </w:r>
    </w:p>
    <w:p w14:paraId="5791261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4、乙方从甲方得到的采购信息，未经甲方同意，乙方不得向第三方公开，泄漏或使用。</w:t>
      </w:r>
    </w:p>
    <w:p w14:paraId="5CDC95FB">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5、乙方配送食材原材料被食品监督部门检验不合格造成不良后果，由乙方承担全部责任，并承担全部经济损失。</w:t>
      </w:r>
    </w:p>
    <w:p w14:paraId="7F85333E">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6、食材供应发生群体食物中毒事故，经检验是乙方配送食材原因的，乙方承担相应事故责任，并承担全部经济损失。</w:t>
      </w:r>
    </w:p>
    <w:p w14:paraId="55C2629C">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十</w:t>
      </w:r>
      <w:r>
        <w:rPr>
          <w:rFonts w:hint="eastAsia" w:asciiTheme="minorEastAsia" w:hAnsiTheme="minorEastAsia" w:eastAsiaTheme="minorEastAsia" w:cstheme="minorEastAsia"/>
          <w:b/>
          <w:bCs/>
          <w:sz w:val="24"/>
          <w:szCs w:val="24"/>
        </w:rPr>
        <w:t>、验收</w:t>
      </w:r>
    </w:p>
    <w:p w14:paraId="6DA81126">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乙方每次随货送上一式二份的送货清单，甲方指派专人接收、称重并验收菜品质量；验收合格后由甲方指定验收员签字核认，作为结算凭证。对不符合质量的品种，甲方有权退、换货。货品验收合格后签收。</w:t>
      </w:r>
    </w:p>
    <w:p w14:paraId="12738915">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库管、采购员负责入库食品检验，值班厨师配合质量验收，食品验收填写《原料购进验收单》，验收标准如下：</w:t>
      </w:r>
    </w:p>
    <w:p w14:paraId="082FD35E">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定型包装食品，应检验包装标识或者产品说明书是否标出品名、产地、厂名、生产日期、批号或者代号、规格、配方或者主要成份、保质期限、食用或者使用方法等，防止购进假冒伪劣产品，禁止“三无”产品进入餐厅；</w:t>
      </w:r>
    </w:p>
    <w:p w14:paraId="453B913A">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（2）主要食材中的定型包装食品，如米面油类，乙方需要提供生产厂家的食品生产许可证；</w:t>
      </w:r>
    </w:p>
    <w:p w14:paraId="1EF85D64">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（3）包装污秽不洁、严重破损、运输工具不洁等造成污染的产品不得验收入库；</w:t>
      </w:r>
    </w:p>
    <w:p w14:paraId="6EB1558A">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p>
    <w:p w14:paraId="0957A3F5">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（5）餐厅采购员、库管员和值班厨师共同对所购食品原辅料的质量、数量进行核对验收，验收合格的及时入库，并在《原料购进验收单》上签字确认。不合格产品应及时退回乙方，同时做好验收记录。</w:t>
      </w:r>
    </w:p>
    <w:p w14:paraId="340809D0">
      <w:pPr>
        <w:pStyle w:val="19"/>
        <w:keepNext w:val="0"/>
        <w:keepLines w:val="0"/>
        <w:pageBreakBefore w:val="0"/>
        <w:kinsoku/>
        <w:wordWrap/>
        <w:overflowPunct/>
        <w:topLinePunct w:val="0"/>
        <w:bidi w:val="0"/>
        <w:snapToGrid w:val="0"/>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（6）入库时，保管员要清点入库物品的数量、规格，做到数量、规格、品种准确无误，入库时按不同的材质、规格、功能和要求，分类、分别储存，做到账物相符。</w:t>
      </w:r>
    </w:p>
    <w:p w14:paraId="166EC014">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一</w:t>
      </w:r>
      <w:r>
        <w:rPr>
          <w:rFonts w:hint="eastAsia" w:asciiTheme="minorEastAsia" w:hAnsiTheme="minorEastAsia" w:eastAsiaTheme="minorEastAsia" w:cstheme="minorEastAsia"/>
          <w:b/>
          <w:bCs/>
          <w:sz w:val="24"/>
          <w:szCs w:val="24"/>
        </w:rPr>
        <w:t>、违约责任</w:t>
      </w:r>
    </w:p>
    <w:p w14:paraId="4083F4A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1、乙方送货质量问题给甲方造成损失的，由乙方承担全部责任。由于甲方保管原因造成的食品安全问题由甲方承担全部责任。</w:t>
      </w:r>
    </w:p>
    <w:p w14:paraId="1E6FE47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2、甲方逾期未向乙方支付货款，乙方催要无果的，乙方有权终止向甲方供货，并催收货款，按所欠款项总金额的0.5%/天向违约方收取违约滞纳金，同时终止合同。</w:t>
      </w:r>
    </w:p>
    <w:p w14:paraId="455E5C0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3、乙方违反合同职责约定，甲方有权要求乙方及时整改，如乙方整改后仍不能达到甲方要求，甲方有权终止合同。</w:t>
      </w:r>
    </w:p>
    <w:p w14:paraId="29EE7C7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4、任何一方要终止合同都应提前一周(即：7天)以书面方式通知对方。</w:t>
      </w:r>
    </w:p>
    <w:p w14:paraId="4BC0BCF6">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5、乙方严格按照甲方订单指定采购食材，如因甲方订单失误造成乙方采购货品错误，乙方不承担责任。</w:t>
      </w:r>
    </w:p>
    <w:p w14:paraId="744538EE">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二</w:t>
      </w:r>
      <w:r>
        <w:rPr>
          <w:rFonts w:hint="eastAsia" w:asciiTheme="minorEastAsia" w:hAnsiTheme="minorEastAsia" w:eastAsiaTheme="minorEastAsia" w:cstheme="minorEastAsia"/>
          <w:b/>
          <w:bCs/>
          <w:sz w:val="24"/>
          <w:szCs w:val="24"/>
        </w:rPr>
        <w:t>、保密规定</w:t>
      </w:r>
    </w:p>
    <w:p w14:paraId="3DCF964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包括刑事责任）。</w:t>
      </w:r>
    </w:p>
    <w:p w14:paraId="3DB6F8E6">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三</w:t>
      </w:r>
      <w:r>
        <w:rPr>
          <w:rFonts w:hint="eastAsia" w:asciiTheme="minorEastAsia" w:hAnsiTheme="minorEastAsia" w:eastAsiaTheme="minorEastAsia" w:cstheme="minorEastAsia"/>
          <w:b/>
          <w:bCs/>
          <w:sz w:val="24"/>
          <w:szCs w:val="24"/>
        </w:rPr>
        <w:t>、合同争议解决的方式</w:t>
      </w:r>
    </w:p>
    <w:p w14:paraId="775971A5">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本合同在履行过程中发生的争议，由甲、乙双方当事人协商解决，协商不成的按下列第（二）种方式解决：</w:t>
      </w:r>
    </w:p>
    <w:p w14:paraId="339B556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（一）向甲方所在地仲裁委员会提起仲裁；</w:t>
      </w:r>
    </w:p>
    <w:p w14:paraId="29AF3FC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（二）向甲方所在地人民法院提起诉讼。</w:t>
      </w:r>
    </w:p>
    <w:p w14:paraId="7A54BBD1">
      <w:pPr>
        <w:keepNext w:val="0"/>
        <w:keepLines w:val="0"/>
        <w:pageBreakBefore w:val="0"/>
        <w:widowControl/>
        <w:kinsoku/>
        <w:wordWrap/>
        <w:overflowPunct/>
        <w:topLinePunct w:val="0"/>
        <w:autoSpaceDE w:val="0"/>
        <w:autoSpaceDN w:val="0"/>
        <w:bidi w:val="0"/>
        <w:adjustRightInd w:val="0"/>
        <w:snapToGrid w:val="0"/>
        <w:spacing w:line="360" w:lineRule="auto"/>
        <w:ind w:firstLine="482" w:firstLineChars="200"/>
        <w:textAlignment w:val="baseline"/>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w:t>
      </w:r>
      <w:r>
        <w:rPr>
          <w:rFonts w:hint="eastAsia" w:asciiTheme="minorEastAsia" w:hAnsiTheme="minorEastAsia" w:eastAsiaTheme="minorEastAsia" w:cstheme="minorEastAsia"/>
          <w:b/>
          <w:bCs/>
          <w:sz w:val="24"/>
          <w:szCs w:val="24"/>
          <w:lang w:val="en-US" w:eastAsia="zh-CN"/>
        </w:rPr>
        <w:t>四</w:t>
      </w:r>
      <w:r>
        <w:rPr>
          <w:rFonts w:hint="eastAsia" w:asciiTheme="minorEastAsia" w:hAnsiTheme="minorEastAsia" w:eastAsiaTheme="minorEastAsia" w:cstheme="minorEastAsia"/>
          <w:b/>
          <w:bCs/>
          <w:sz w:val="24"/>
          <w:szCs w:val="24"/>
        </w:rPr>
        <w:t>、合同生效</w:t>
      </w:r>
    </w:p>
    <w:p w14:paraId="5F6E8C0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（一）本合同须经甲、乙双方的法定代表人（授权代理人）在合同书上签字并加盖本单位公章后正式生效。合同签约甲方为</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w:t>
      </w:r>
    </w:p>
    <w:p w14:paraId="363F5380">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（二）合同生效后，甲、乙双方须严格执行本合同条款的规定，全面履行合同，违者按《中华人民共 和国民法典》的有关规定承担相应责任。</w:t>
      </w:r>
    </w:p>
    <w:p w14:paraId="78715C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（三）本合同一式</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份，甲乙双方各执</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份。</w:t>
      </w:r>
    </w:p>
    <w:p w14:paraId="56E3C694">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（四）本合同如有未尽事宜，甲、乙双方协商解决。</w:t>
      </w:r>
    </w:p>
    <w:p w14:paraId="4959522D">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（五）附件构成本合同不可分割的一部分，与本合同具有同等法律效力。</w:t>
      </w:r>
    </w:p>
    <w:p w14:paraId="7E23B7C5">
      <w:pPr>
        <w:pStyle w:val="6"/>
        <w:keepNext w:val="0"/>
        <w:keepLines w:val="0"/>
        <w:pageBreakBefore w:val="0"/>
        <w:kinsoku/>
        <w:wordWrap/>
        <w:overflowPunct/>
        <w:topLinePunct w:val="0"/>
        <w:bidi w:val="0"/>
        <w:snapToGrid w:val="0"/>
        <w:spacing w:before="65" w:line="360" w:lineRule="auto"/>
        <w:ind w:left="4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spacing w:val="5"/>
          <w:sz w:val="24"/>
          <w:szCs w:val="24"/>
        </w:rPr>
        <w:t>（以下无正文）</w:t>
      </w:r>
    </w:p>
    <w:tbl>
      <w:tblPr>
        <w:tblStyle w:val="9"/>
        <w:tblpPr w:leftFromText="180" w:rightFromText="180" w:vertAnchor="text" w:horzAnchor="page" w:tblpX="1706" w:tblpY="343"/>
        <w:tblOverlap w:val="never"/>
        <w:tblW w:w="9540"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4770"/>
        <w:gridCol w:w="4770"/>
      </w:tblGrid>
      <w:tr w14:paraId="2847A0F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7" w:hRule="atLeast"/>
        </w:trPr>
        <w:tc>
          <w:tcPr>
            <w:tcW w:w="4770" w:type="dxa"/>
            <w:noWrap w:val="0"/>
            <w:vAlign w:val="top"/>
          </w:tcPr>
          <w:p w14:paraId="00FCDC1C">
            <w:pPr>
              <w:pStyle w:val="20"/>
              <w:spacing w:line="360" w:lineRule="auto"/>
              <w:rPr>
                <w:rFonts w:hint="eastAsia" w:eastAsia="宋体"/>
                <w:sz w:val="24"/>
                <w:szCs w:val="24"/>
                <w:lang w:eastAsia="zh-CN"/>
              </w:rPr>
            </w:pPr>
            <w:r>
              <w:rPr>
                <w:spacing w:val="3"/>
                <w:sz w:val="24"/>
                <w:szCs w:val="24"/>
              </w:rPr>
              <w:t>甲方名称（盖章）</w:t>
            </w:r>
            <w:r>
              <w:rPr>
                <w:spacing w:val="-44"/>
                <w:sz w:val="24"/>
                <w:szCs w:val="24"/>
              </w:rPr>
              <w:t xml:space="preserve"> </w:t>
            </w:r>
            <w:r>
              <w:rPr>
                <w:rFonts w:hint="eastAsia"/>
                <w:spacing w:val="3"/>
                <w:sz w:val="24"/>
                <w:szCs w:val="24"/>
                <w:lang w:eastAsia="zh-CN"/>
              </w:rPr>
              <w:t>：</w:t>
            </w:r>
          </w:p>
        </w:tc>
        <w:tc>
          <w:tcPr>
            <w:tcW w:w="4770" w:type="dxa"/>
            <w:noWrap w:val="0"/>
            <w:vAlign w:val="top"/>
          </w:tcPr>
          <w:p w14:paraId="550369A9">
            <w:pPr>
              <w:pStyle w:val="20"/>
              <w:spacing w:line="360" w:lineRule="auto"/>
              <w:jc w:val="center"/>
              <w:rPr>
                <w:rFonts w:hint="eastAsia" w:eastAsia="宋体"/>
                <w:sz w:val="24"/>
                <w:szCs w:val="24"/>
                <w:lang w:eastAsia="zh-CN"/>
              </w:rPr>
            </w:pPr>
            <w:r>
              <w:rPr>
                <w:sz w:val="24"/>
                <w:szCs w:val="24"/>
              </w:rPr>
              <w:t>乙方名称（盖章）</w:t>
            </w:r>
            <w:r>
              <w:rPr>
                <w:spacing w:val="-46"/>
                <w:sz w:val="24"/>
                <w:szCs w:val="24"/>
              </w:rPr>
              <w:t xml:space="preserve"> </w:t>
            </w:r>
            <w:r>
              <w:rPr>
                <w:rFonts w:hint="eastAsia"/>
                <w:sz w:val="24"/>
                <w:szCs w:val="24"/>
                <w:lang w:eastAsia="zh-CN"/>
              </w:rPr>
              <w:t>：</w:t>
            </w:r>
          </w:p>
        </w:tc>
      </w:tr>
      <w:tr w14:paraId="3C61751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5" w:hRule="atLeast"/>
        </w:trPr>
        <w:tc>
          <w:tcPr>
            <w:tcW w:w="4770" w:type="dxa"/>
            <w:noWrap w:val="0"/>
            <w:vAlign w:val="top"/>
          </w:tcPr>
          <w:p w14:paraId="66B44274">
            <w:pPr>
              <w:pStyle w:val="20"/>
              <w:spacing w:before="100" w:line="360" w:lineRule="auto"/>
              <w:rPr>
                <w:sz w:val="24"/>
                <w:szCs w:val="24"/>
              </w:rPr>
            </w:pPr>
            <w:r>
              <w:rPr>
                <w:spacing w:val="3"/>
                <w:sz w:val="24"/>
                <w:szCs w:val="24"/>
              </w:rPr>
              <w:t>地址：</w:t>
            </w:r>
          </w:p>
        </w:tc>
        <w:tc>
          <w:tcPr>
            <w:tcW w:w="4770" w:type="dxa"/>
            <w:noWrap w:val="0"/>
            <w:vAlign w:val="top"/>
          </w:tcPr>
          <w:p w14:paraId="06A17C02">
            <w:pPr>
              <w:pStyle w:val="20"/>
              <w:spacing w:before="100" w:line="360" w:lineRule="auto"/>
              <w:ind w:left="1433"/>
              <w:rPr>
                <w:sz w:val="24"/>
                <w:szCs w:val="24"/>
              </w:rPr>
            </w:pPr>
            <w:r>
              <w:rPr>
                <w:spacing w:val="3"/>
                <w:sz w:val="24"/>
                <w:szCs w:val="24"/>
              </w:rPr>
              <w:t>地址：</w:t>
            </w:r>
          </w:p>
        </w:tc>
      </w:tr>
      <w:tr w14:paraId="480C4D2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5" w:hRule="atLeast"/>
        </w:trPr>
        <w:tc>
          <w:tcPr>
            <w:tcW w:w="4770" w:type="dxa"/>
            <w:noWrap w:val="0"/>
            <w:vAlign w:val="top"/>
          </w:tcPr>
          <w:p w14:paraId="3045BBAE">
            <w:pPr>
              <w:pStyle w:val="20"/>
              <w:spacing w:before="99" w:line="360" w:lineRule="auto"/>
              <w:rPr>
                <w:sz w:val="24"/>
                <w:szCs w:val="24"/>
              </w:rPr>
            </w:pPr>
            <w:r>
              <w:rPr>
                <w:spacing w:val="8"/>
                <w:sz w:val="24"/>
                <w:szCs w:val="24"/>
              </w:rPr>
              <w:t>代表人（签字</w:t>
            </w:r>
            <w:r>
              <w:rPr>
                <w:sz w:val="24"/>
                <w:szCs w:val="24"/>
              </w:rPr>
              <w:t>）：</w:t>
            </w:r>
          </w:p>
        </w:tc>
        <w:tc>
          <w:tcPr>
            <w:tcW w:w="4770" w:type="dxa"/>
            <w:noWrap w:val="0"/>
            <w:vAlign w:val="top"/>
          </w:tcPr>
          <w:p w14:paraId="026A02CA">
            <w:pPr>
              <w:pStyle w:val="20"/>
              <w:spacing w:before="99" w:line="360" w:lineRule="auto"/>
              <w:ind w:left="1432"/>
              <w:rPr>
                <w:sz w:val="24"/>
                <w:szCs w:val="24"/>
              </w:rPr>
            </w:pPr>
            <w:r>
              <w:rPr>
                <w:spacing w:val="8"/>
                <w:sz w:val="24"/>
                <w:szCs w:val="24"/>
              </w:rPr>
              <w:t>代表人（签字</w:t>
            </w:r>
            <w:r>
              <w:rPr>
                <w:sz w:val="24"/>
                <w:szCs w:val="24"/>
              </w:rPr>
              <w:t>）：</w:t>
            </w:r>
          </w:p>
        </w:tc>
      </w:tr>
      <w:tr w14:paraId="1165189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7" w:hRule="atLeast"/>
        </w:trPr>
        <w:tc>
          <w:tcPr>
            <w:tcW w:w="4770" w:type="dxa"/>
            <w:noWrap w:val="0"/>
            <w:vAlign w:val="top"/>
          </w:tcPr>
          <w:p w14:paraId="2EA87B0B">
            <w:pPr>
              <w:pStyle w:val="20"/>
              <w:spacing w:before="99" w:line="360" w:lineRule="auto"/>
              <w:ind w:left="25"/>
              <w:rPr>
                <w:sz w:val="24"/>
                <w:szCs w:val="24"/>
              </w:rPr>
            </w:pPr>
            <w:r>
              <w:rPr>
                <w:spacing w:val="-5"/>
                <w:sz w:val="24"/>
                <w:szCs w:val="24"/>
              </w:rPr>
              <w:t>电话：</w:t>
            </w:r>
          </w:p>
        </w:tc>
        <w:tc>
          <w:tcPr>
            <w:tcW w:w="4770" w:type="dxa"/>
            <w:noWrap w:val="0"/>
            <w:vAlign w:val="top"/>
          </w:tcPr>
          <w:p w14:paraId="76D46E60">
            <w:pPr>
              <w:pStyle w:val="20"/>
              <w:spacing w:before="99" w:line="360" w:lineRule="auto"/>
              <w:ind w:left="1457"/>
              <w:rPr>
                <w:sz w:val="24"/>
                <w:szCs w:val="24"/>
              </w:rPr>
            </w:pPr>
            <w:r>
              <w:rPr>
                <w:spacing w:val="-5"/>
                <w:sz w:val="24"/>
                <w:szCs w:val="24"/>
              </w:rPr>
              <w:t>电话：</w:t>
            </w:r>
          </w:p>
        </w:tc>
      </w:tr>
      <w:tr w14:paraId="1A1E496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7" w:hRule="atLeast"/>
        </w:trPr>
        <w:tc>
          <w:tcPr>
            <w:tcW w:w="4770" w:type="dxa"/>
            <w:noWrap w:val="0"/>
            <w:vAlign w:val="top"/>
          </w:tcPr>
          <w:p w14:paraId="07997367">
            <w:pPr>
              <w:pStyle w:val="20"/>
              <w:spacing w:before="101" w:line="360" w:lineRule="auto"/>
              <w:ind w:left="1"/>
              <w:rPr>
                <w:sz w:val="24"/>
                <w:szCs w:val="24"/>
              </w:rPr>
            </w:pPr>
            <w:r>
              <w:rPr>
                <w:spacing w:val="5"/>
                <w:sz w:val="24"/>
                <w:szCs w:val="24"/>
              </w:rPr>
              <w:t>开户银行：</w:t>
            </w:r>
          </w:p>
        </w:tc>
        <w:tc>
          <w:tcPr>
            <w:tcW w:w="4770" w:type="dxa"/>
            <w:noWrap w:val="0"/>
            <w:vAlign w:val="top"/>
          </w:tcPr>
          <w:p w14:paraId="4C7635C9">
            <w:pPr>
              <w:pStyle w:val="20"/>
              <w:spacing w:before="101" w:line="360" w:lineRule="auto"/>
              <w:ind w:left="1434"/>
              <w:rPr>
                <w:sz w:val="24"/>
                <w:szCs w:val="24"/>
              </w:rPr>
            </w:pPr>
            <w:r>
              <w:rPr>
                <w:spacing w:val="5"/>
                <w:sz w:val="24"/>
                <w:szCs w:val="24"/>
              </w:rPr>
              <w:t>开户银行：</w:t>
            </w:r>
          </w:p>
        </w:tc>
      </w:tr>
      <w:tr w14:paraId="1B71F8C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09" w:hRule="atLeast"/>
        </w:trPr>
        <w:tc>
          <w:tcPr>
            <w:tcW w:w="4770" w:type="dxa"/>
            <w:noWrap w:val="0"/>
            <w:vAlign w:val="top"/>
          </w:tcPr>
          <w:p w14:paraId="2C5843BD">
            <w:pPr>
              <w:pStyle w:val="20"/>
              <w:spacing w:before="100" w:line="360" w:lineRule="auto"/>
              <w:ind w:left="8"/>
              <w:rPr>
                <w:sz w:val="24"/>
                <w:szCs w:val="24"/>
              </w:rPr>
            </w:pPr>
            <w:r>
              <w:rPr>
                <w:sz w:val="24"/>
                <w:szCs w:val="24"/>
              </w:rPr>
              <w:t>帐号：</w:t>
            </w:r>
          </w:p>
        </w:tc>
        <w:tc>
          <w:tcPr>
            <w:tcW w:w="4770" w:type="dxa"/>
            <w:noWrap w:val="0"/>
            <w:vAlign w:val="top"/>
          </w:tcPr>
          <w:p w14:paraId="77D21845">
            <w:pPr>
              <w:pStyle w:val="20"/>
              <w:spacing w:before="100" w:line="360" w:lineRule="auto"/>
              <w:ind w:left="1441"/>
              <w:rPr>
                <w:sz w:val="24"/>
                <w:szCs w:val="24"/>
              </w:rPr>
            </w:pPr>
            <w:r>
              <w:rPr>
                <w:sz w:val="24"/>
                <w:szCs w:val="24"/>
              </w:rPr>
              <w:t>帐号：</w:t>
            </w:r>
          </w:p>
        </w:tc>
      </w:tr>
    </w:tbl>
    <w:p w14:paraId="270604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5177A"/>
    <w:rsid w:val="004F0F4D"/>
    <w:rsid w:val="010857E2"/>
    <w:rsid w:val="026D3B55"/>
    <w:rsid w:val="02D47D39"/>
    <w:rsid w:val="052D7F46"/>
    <w:rsid w:val="05362B05"/>
    <w:rsid w:val="05AD64DF"/>
    <w:rsid w:val="07B86B01"/>
    <w:rsid w:val="07BE535D"/>
    <w:rsid w:val="09CA6B57"/>
    <w:rsid w:val="0ADE34F7"/>
    <w:rsid w:val="0ADE719B"/>
    <w:rsid w:val="0B5C4D03"/>
    <w:rsid w:val="0B735881"/>
    <w:rsid w:val="0C982C55"/>
    <w:rsid w:val="0CA653DC"/>
    <w:rsid w:val="0CF5561A"/>
    <w:rsid w:val="0D07573C"/>
    <w:rsid w:val="0D9B43D0"/>
    <w:rsid w:val="0E274C11"/>
    <w:rsid w:val="0EAC0AFD"/>
    <w:rsid w:val="11F33501"/>
    <w:rsid w:val="13F54E26"/>
    <w:rsid w:val="14116EB5"/>
    <w:rsid w:val="16CB66C2"/>
    <w:rsid w:val="191D1F47"/>
    <w:rsid w:val="196640D0"/>
    <w:rsid w:val="1C382B5F"/>
    <w:rsid w:val="1CB93D9D"/>
    <w:rsid w:val="1D48524C"/>
    <w:rsid w:val="1D840B24"/>
    <w:rsid w:val="1ECD5B85"/>
    <w:rsid w:val="21CF61DE"/>
    <w:rsid w:val="22B43433"/>
    <w:rsid w:val="22F664C5"/>
    <w:rsid w:val="24A00C56"/>
    <w:rsid w:val="24CA4BBB"/>
    <w:rsid w:val="25273966"/>
    <w:rsid w:val="257E4A9D"/>
    <w:rsid w:val="25E32F85"/>
    <w:rsid w:val="26603F1B"/>
    <w:rsid w:val="27C120C7"/>
    <w:rsid w:val="283050FB"/>
    <w:rsid w:val="28F04CA6"/>
    <w:rsid w:val="293F0948"/>
    <w:rsid w:val="2975156E"/>
    <w:rsid w:val="2C1D0BC2"/>
    <w:rsid w:val="2CD87928"/>
    <w:rsid w:val="2D665C1C"/>
    <w:rsid w:val="2D7C41E1"/>
    <w:rsid w:val="2DD80BA8"/>
    <w:rsid w:val="2DE17B90"/>
    <w:rsid w:val="2E071D10"/>
    <w:rsid w:val="2F7E3306"/>
    <w:rsid w:val="303403EF"/>
    <w:rsid w:val="308466D8"/>
    <w:rsid w:val="30D71074"/>
    <w:rsid w:val="31234F7C"/>
    <w:rsid w:val="31D6516E"/>
    <w:rsid w:val="31D847AC"/>
    <w:rsid w:val="32023431"/>
    <w:rsid w:val="32A83CD6"/>
    <w:rsid w:val="337068B0"/>
    <w:rsid w:val="341235E7"/>
    <w:rsid w:val="34420C73"/>
    <w:rsid w:val="34DA0A32"/>
    <w:rsid w:val="35C6510A"/>
    <w:rsid w:val="360E18B1"/>
    <w:rsid w:val="378F3624"/>
    <w:rsid w:val="38772C2B"/>
    <w:rsid w:val="3B2C22D1"/>
    <w:rsid w:val="3BAA0841"/>
    <w:rsid w:val="3BE663F2"/>
    <w:rsid w:val="3BF3011D"/>
    <w:rsid w:val="3D9D2854"/>
    <w:rsid w:val="40082293"/>
    <w:rsid w:val="40083152"/>
    <w:rsid w:val="40F63DC0"/>
    <w:rsid w:val="421012C3"/>
    <w:rsid w:val="430B16C1"/>
    <w:rsid w:val="4431334F"/>
    <w:rsid w:val="4448304B"/>
    <w:rsid w:val="44C63A0B"/>
    <w:rsid w:val="45184A60"/>
    <w:rsid w:val="455C75A3"/>
    <w:rsid w:val="474F7F57"/>
    <w:rsid w:val="47A005BF"/>
    <w:rsid w:val="4CFA792D"/>
    <w:rsid w:val="4D1D7170"/>
    <w:rsid w:val="4D646013"/>
    <w:rsid w:val="4D6A028A"/>
    <w:rsid w:val="4D8C7A7A"/>
    <w:rsid w:val="504B27F5"/>
    <w:rsid w:val="525F614B"/>
    <w:rsid w:val="53337C8C"/>
    <w:rsid w:val="542D3DC5"/>
    <w:rsid w:val="54667B16"/>
    <w:rsid w:val="55BC4ECF"/>
    <w:rsid w:val="57640CEA"/>
    <w:rsid w:val="57923690"/>
    <w:rsid w:val="59AD5459"/>
    <w:rsid w:val="5B147DB2"/>
    <w:rsid w:val="5BF84DFD"/>
    <w:rsid w:val="5D632CDE"/>
    <w:rsid w:val="5E4A41BF"/>
    <w:rsid w:val="5EDC7E59"/>
    <w:rsid w:val="5EF37821"/>
    <w:rsid w:val="61D36C4B"/>
    <w:rsid w:val="61EC24E5"/>
    <w:rsid w:val="629B747C"/>
    <w:rsid w:val="64D24668"/>
    <w:rsid w:val="65A46809"/>
    <w:rsid w:val="67826B95"/>
    <w:rsid w:val="67984807"/>
    <w:rsid w:val="6816429A"/>
    <w:rsid w:val="6ADE227F"/>
    <w:rsid w:val="6BDD7C73"/>
    <w:rsid w:val="6C775A02"/>
    <w:rsid w:val="6CB20263"/>
    <w:rsid w:val="6E3B0847"/>
    <w:rsid w:val="6EE70791"/>
    <w:rsid w:val="6F076F23"/>
    <w:rsid w:val="6F462F26"/>
    <w:rsid w:val="6F557B1F"/>
    <w:rsid w:val="704260BE"/>
    <w:rsid w:val="709231C5"/>
    <w:rsid w:val="71310596"/>
    <w:rsid w:val="713F5856"/>
    <w:rsid w:val="74844791"/>
    <w:rsid w:val="74D45855"/>
    <w:rsid w:val="74D575F2"/>
    <w:rsid w:val="74DD3202"/>
    <w:rsid w:val="76676215"/>
    <w:rsid w:val="76F1383A"/>
    <w:rsid w:val="77062109"/>
    <w:rsid w:val="77E2713E"/>
    <w:rsid w:val="7AD5146A"/>
    <w:rsid w:val="7AFE2D3C"/>
    <w:rsid w:val="7B637D31"/>
    <w:rsid w:val="7BE47684"/>
    <w:rsid w:val="7DDD1E87"/>
    <w:rsid w:val="7DE9682E"/>
    <w:rsid w:val="7E551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autoRedefine/>
    <w:qFormat/>
    <w:uiPriority w:val="0"/>
    <w:pPr>
      <w:keepNext/>
      <w:keepLines/>
      <w:spacing w:before="120" w:beforeLines="0" w:after="120" w:afterLines="0" w:line="360" w:lineRule="auto"/>
      <w:jc w:val="center"/>
      <w:outlineLvl w:val="0"/>
    </w:pPr>
    <w:rPr>
      <w:rFonts w:ascii="Times New Roman" w:hAnsi="Times New Roman" w:eastAsia="宋体" w:cs="Times New Roman"/>
      <w:b/>
      <w:bCs/>
      <w:kern w:val="44"/>
      <w:sz w:val="30"/>
      <w:szCs w:val="44"/>
      <w:lang w:eastAsia="zh-CN"/>
    </w:rPr>
  </w:style>
  <w:style w:type="paragraph" w:styleId="3">
    <w:name w:val="heading 2"/>
    <w:basedOn w:val="1"/>
    <w:next w:val="1"/>
    <w:link w:val="13"/>
    <w:autoRedefine/>
    <w:semiHidden/>
    <w:unhideWhenUsed/>
    <w:qFormat/>
    <w:uiPriority w:val="0"/>
    <w:pPr>
      <w:keepNext/>
      <w:widowControl w:val="0"/>
      <w:spacing w:line="720" w:lineRule="exact"/>
      <w:jc w:val="left"/>
      <w:outlineLvl w:val="1"/>
    </w:pPr>
    <w:rPr>
      <w:rFonts w:ascii="黑体" w:hAnsi="黑体" w:eastAsia="宋体" w:cs="Times New Roman"/>
      <w:b/>
      <w:kern w:val="2"/>
      <w:sz w:val="28"/>
      <w:szCs w:val="24"/>
      <w:lang w:eastAsia="zh-CN"/>
    </w:rPr>
  </w:style>
  <w:style w:type="paragraph" w:styleId="4">
    <w:name w:val="heading 3"/>
    <w:basedOn w:val="3"/>
    <w:next w:val="1"/>
    <w:link w:val="14"/>
    <w:autoRedefine/>
    <w:semiHidden/>
    <w:unhideWhenUsed/>
    <w:qFormat/>
    <w:uiPriority w:val="0"/>
    <w:pPr>
      <w:spacing w:before="0" w:beforeAutospacing="1" w:after="0" w:afterAutospacing="1" w:line="240" w:lineRule="auto"/>
      <w:jc w:val="left"/>
      <w:outlineLvl w:val="2"/>
    </w:pPr>
    <w:rPr>
      <w:rFonts w:hint="eastAsia" w:ascii="宋体" w:hAnsi="宋体" w:eastAsia="宋体" w:cs="宋体"/>
      <w:bCs/>
      <w:kern w:val="0"/>
      <w:sz w:val="30"/>
      <w:szCs w:val="27"/>
      <w:lang w:bidi="ar"/>
    </w:rPr>
  </w:style>
  <w:style w:type="paragraph" w:styleId="5">
    <w:name w:val="heading 4"/>
    <w:basedOn w:val="1"/>
    <w:next w:val="1"/>
    <w:autoRedefine/>
    <w:semiHidden/>
    <w:unhideWhenUsed/>
    <w:qFormat/>
    <w:uiPriority w:val="0"/>
    <w:pPr>
      <w:keepNext/>
      <w:keepLines/>
      <w:adjustRightInd w:val="0"/>
      <w:spacing w:line="360" w:lineRule="auto"/>
      <w:jc w:val="center"/>
      <w:outlineLvl w:val="3"/>
    </w:pPr>
    <w:rPr>
      <w:rFonts w:ascii="宋体" w:hAnsi="宋体" w:eastAsia="宋体" w:cstheme="majorBidi"/>
      <w:b/>
      <w:bCs/>
      <w:kern w:val="0"/>
      <w:sz w:val="28"/>
      <w:szCs w:val="28"/>
      <w:lang w:eastAsia="zh-CN"/>
    </w:rPr>
  </w:style>
  <w:style w:type="character" w:default="1" w:styleId="10">
    <w:name w:val="Default Paragraph Font"/>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5"/>
    <w:qFormat/>
    <w:uiPriority w:val="0"/>
    <w:rPr>
      <w:color w:val="993300"/>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character" w:customStyle="1" w:styleId="12">
    <w:name w:val="标题 1 Char"/>
    <w:basedOn w:val="10"/>
    <w:link w:val="2"/>
    <w:qFormat/>
    <w:uiPriority w:val="0"/>
    <w:rPr>
      <w:rFonts w:hint="eastAsia" w:ascii="Times New Roman" w:hAnsi="Times New Roman" w:eastAsia="宋体" w:cs="Times New Roman"/>
      <w:b/>
      <w:bCs/>
      <w:snapToGrid w:val="0"/>
      <w:color w:val="000000"/>
      <w:kern w:val="0"/>
      <w:sz w:val="32"/>
      <w:szCs w:val="24"/>
      <w:lang w:eastAsia="zh-CN"/>
    </w:rPr>
  </w:style>
  <w:style w:type="character" w:customStyle="1" w:styleId="13">
    <w:name w:val="标题 2 Char"/>
    <w:link w:val="3"/>
    <w:qFormat/>
    <w:uiPriority w:val="0"/>
    <w:rPr>
      <w:rFonts w:ascii="宋体" w:hAnsi="宋体" w:eastAsia="宋体" w:cs="Times New Roman"/>
      <w:b/>
      <w:bCs/>
      <w:snapToGrid w:val="0"/>
      <w:color w:val="000000"/>
      <w:kern w:val="2"/>
      <w:sz w:val="28"/>
      <w:szCs w:val="24"/>
      <w:lang w:val="en-US" w:eastAsia="zh-CN" w:bidi="ar-SA"/>
    </w:rPr>
  </w:style>
  <w:style w:type="character" w:customStyle="1" w:styleId="14">
    <w:name w:val="标题 3 Char"/>
    <w:link w:val="4"/>
    <w:autoRedefine/>
    <w:qFormat/>
    <w:uiPriority w:val="0"/>
    <w:rPr>
      <w:rFonts w:ascii="宋体" w:hAnsi="宋体" w:eastAsia="宋体" w:cs="宋体"/>
      <w:b/>
      <w:kern w:val="2"/>
      <w:sz w:val="30"/>
      <w:szCs w:val="28"/>
      <w:lang w:val="en-US" w:eastAsia="zh-CN" w:bidi="ar-SA"/>
    </w:rPr>
  </w:style>
  <w:style w:type="paragraph" w:customStyle="1" w:styleId="15">
    <w:name w:val="Heading #3|1"/>
    <w:basedOn w:val="1"/>
    <w:link w:val="16"/>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6">
    <w:name w:val="Heading #3|1_"/>
    <w:basedOn w:val="10"/>
    <w:link w:val="15"/>
    <w:qFormat/>
    <w:uiPriority w:val="0"/>
    <w:rPr>
      <w:rFonts w:ascii="宋体" w:hAnsi="宋体" w:eastAsia="宋体" w:cs="宋体"/>
      <w:sz w:val="32"/>
      <w:szCs w:val="32"/>
      <w:lang w:val="zh-TW" w:eastAsia="zh-TW" w:bidi="zh-TW"/>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列出段落1"/>
    <w:basedOn w:val="1"/>
    <w:qFormat/>
    <w:uiPriority w:val="99"/>
    <w:pPr>
      <w:ind w:firstLine="420" w:firstLineChars="200"/>
    </w:pPr>
  </w:style>
  <w:style w:type="paragraph" w:customStyle="1" w:styleId="19">
    <w:name w:val="Table caption|1"/>
    <w:basedOn w:val="1"/>
    <w:qFormat/>
    <w:uiPriority w:val="0"/>
    <w:pPr>
      <w:spacing w:line="274" w:lineRule="auto"/>
      <w:ind w:firstLine="240"/>
      <w:jc w:val="left"/>
    </w:pPr>
    <w:rPr>
      <w:rFonts w:ascii="宋体" w:hAnsi="宋体" w:eastAsia="宋体" w:cs="宋体"/>
      <w:color w:val="F65D51"/>
      <w:kern w:val="0"/>
      <w:sz w:val="20"/>
      <w:szCs w:val="20"/>
      <w:lang w:val="zh-TW" w:eastAsia="zh-TW" w:bidi="zh-TW"/>
    </w:rPr>
  </w:style>
  <w:style w:type="paragraph" w:customStyle="1" w:styleId="20">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6341</Words>
  <Characters>6568</Characters>
  <Lines>0</Lines>
  <Paragraphs>0</Paragraphs>
  <TotalTime>14</TotalTime>
  <ScaleCrop>false</ScaleCrop>
  <LinksUpToDate>false</LinksUpToDate>
  <CharactersWithSpaces>6655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2025-12-11T09:45:00Z</dcterms:created>
  <dc:creator>Lucalulu</dc:creator>
  <cp:lastModifiedBy>伤了心的女人怎么办</cp:lastModifiedBy>
  <dcterms:modified xsi:type="dcterms:W3CDTF">2026-04-27T07:26:49Z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BCF96121C39546539EAEBB2384C0F237_13</vt:lpwstr>
  </property>
  <property fmtid="{D5CDD505-2E9C-101B-9397-08002B2CF9AE}" pid="4" name="KSOTemplateDocerSaveRecord">
    <vt:lpwstr>eyJoZGlkIjoiZDdkZTM5Y2FkMjQxZWFjNGM4MjNkZGMzYzJkZmY2NWEiLCJ1c2VySWQiOiIxMDYxNDQyNDg1In0=</vt:lpwstr>
  </property>
</Properties>
</file>