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版本号：XQSZB2026-00720260403001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三原职业技术教育中心培训基地操场二期改造项目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XQSZB2026-007</w:t>
      </w:r>
      <w:r>
        <w:br/>
      </w:r>
      <w:r>
        <w:br/>
      </w:r>
      <w:r>
        <w:br/>
      </w:r>
    </w:p>
    <w:p>
      <w:pPr>
        <w:pStyle w:val="null3"/>
        <w:jc w:val="center"/>
        <w:outlineLvl w:val="2"/>
      </w:pPr>
      <w:r>
        <w:rPr>
          <w:rFonts w:ascii="仿宋_GB2312" w:hAnsi="仿宋_GB2312" w:cs="仿宋_GB2312" w:eastAsia="仿宋_GB2312"/>
          <w:sz w:val="28"/>
          <w:b/>
        </w:rPr>
        <w:t>三原县职业技术教育中心</w:t>
      </w:r>
    </w:p>
    <w:p>
      <w:pPr>
        <w:pStyle w:val="null3"/>
        <w:jc w:val="center"/>
        <w:outlineLvl w:val="2"/>
      </w:pPr>
      <w:r>
        <w:rPr>
          <w:rFonts w:ascii="仿宋_GB2312" w:hAnsi="仿宋_GB2312" w:cs="仿宋_GB2312" w:eastAsia="仿宋_GB2312"/>
          <w:sz w:val="28"/>
          <w:b/>
        </w:rPr>
        <w:t>陕西鑫仟顺工程项目管理有限公司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陕西鑫仟顺工程项目管理有限公司</w:t>
      </w:r>
      <w:r>
        <w:rPr>
          <w:rFonts w:ascii="仿宋_GB2312" w:hAnsi="仿宋_GB2312" w:cs="仿宋_GB2312" w:eastAsia="仿宋_GB2312"/>
        </w:rPr>
        <w:t>（以下简称“代理机构”）受</w:t>
      </w:r>
      <w:r>
        <w:rPr>
          <w:rFonts w:ascii="仿宋_GB2312" w:hAnsi="仿宋_GB2312" w:cs="仿宋_GB2312" w:eastAsia="仿宋_GB2312"/>
        </w:rPr>
        <w:t>三原县职业技术教育中心</w:t>
      </w:r>
      <w:r>
        <w:rPr>
          <w:rFonts w:ascii="仿宋_GB2312" w:hAnsi="仿宋_GB2312" w:cs="仿宋_GB2312" w:eastAsia="仿宋_GB2312"/>
        </w:rPr>
        <w:t>委托，拟对</w:t>
      </w:r>
      <w:r>
        <w:rPr>
          <w:rFonts w:ascii="仿宋_GB2312" w:hAnsi="仿宋_GB2312" w:cs="仿宋_GB2312" w:eastAsia="仿宋_GB2312"/>
        </w:rPr>
        <w:t>三原职业技术教育中心培训基地操场二期改造项目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XQSZB2026-007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三原职业技术教育中心培训基地操场二期改造项目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三原县职业技术教育中心培训基地操场二期改造项目，操场面积10000平方米。施工内容包括草坪、塑胶跑道、看台主席台、卫生间、绿化等。具体详见施工图纸及工程量清单全部内容。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采购包1（三原县职业技术教育中心培训基地操场二期改造项目）：属于专门面向中小企业采购。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营业执照/事业单位法人证书/专业服务机构执业许可证/民办非企业单位登记证书等相关证明，自然人参与的提供其身份证明。</w:t>
      </w:r>
    </w:p>
    <w:p>
      <w:pPr>
        <w:pStyle w:val="null3"/>
      </w:pPr>
      <w:r>
        <w:rPr>
          <w:rFonts w:ascii="仿宋_GB2312" w:hAnsi="仿宋_GB2312" w:cs="仿宋_GB2312" w:eastAsia="仿宋_GB2312"/>
        </w:rPr>
        <w:t>2、资质要求：供应商须具备建设行政主管部门颁发的建筑工程施工总承包三级及以上资质，并具备建设行政主管部门颁发的安全生产许可证。</w:t>
      </w:r>
    </w:p>
    <w:p>
      <w:pPr>
        <w:pStyle w:val="null3"/>
      </w:pPr>
      <w:r>
        <w:rPr>
          <w:rFonts w:ascii="仿宋_GB2312" w:hAnsi="仿宋_GB2312" w:cs="仿宋_GB2312" w:eastAsia="仿宋_GB2312"/>
        </w:rPr>
        <w:t>3、拟派项目负责人资质及专业要求：证书等级：二级注册建造师 专业：建筑工程 补充说明：具有有效的安全生产考核合格证(B证)，且未担任其他在建工程项目的项目经理（提供无在建工程证明）</w:t>
      </w:r>
    </w:p>
    <w:p>
      <w:pPr>
        <w:pStyle w:val="null3"/>
      </w:pPr>
      <w:r>
        <w:rPr>
          <w:rFonts w:ascii="仿宋_GB2312" w:hAnsi="仿宋_GB2312" w:cs="仿宋_GB2312" w:eastAsia="仿宋_GB2312"/>
        </w:rPr>
        <w:t>4、投标人及拟派项目负责人查询：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p>
      <w:pPr>
        <w:pStyle w:val="null3"/>
      </w:pPr>
      <w:r>
        <w:rPr>
          <w:rFonts w:ascii="仿宋_GB2312" w:hAnsi="仿宋_GB2312" w:cs="仿宋_GB2312" w:eastAsia="仿宋_GB2312"/>
        </w:rPr>
        <w:t>5、财务情况：提供2024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p>
      <w:pPr>
        <w:pStyle w:val="null3"/>
      </w:pPr>
      <w:r>
        <w:rPr>
          <w:rFonts w:ascii="仿宋_GB2312" w:hAnsi="仿宋_GB2312" w:cs="仿宋_GB2312" w:eastAsia="仿宋_GB2312"/>
        </w:rPr>
        <w:t>6、纳税证明：提供磋商截止日前六个月内任意一个月的纳税证明或完税证明（增值税、印花税、城市维护建设费、企业所得税等一种或多种税种），依法免税的单位提供相关证明材料。</w:t>
      </w:r>
    </w:p>
    <w:p>
      <w:pPr>
        <w:pStyle w:val="null3"/>
      </w:pPr>
      <w:r>
        <w:rPr>
          <w:rFonts w:ascii="仿宋_GB2312" w:hAnsi="仿宋_GB2312" w:cs="仿宋_GB2312" w:eastAsia="仿宋_GB2312"/>
        </w:rPr>
        <w:t>7、社保缴纳证明：提供磋商截止日前六个月内任意一个月的社保资金交纳证明，依法不需要缴纳社保资金的单位提供相关证明材料。</w:t>
      </w:r>
    </w:p>
    <w:p>
      <w:pPr>
        <w:pStyle w:val="null3"/>
      </w:pPr>
      <w:r>
        <w:rPr>
          <w:rFonts w:ascii="仿宋_GB2312" w:hAnsi="仿宋_GB2312" w:cs="仿宋_GB2312" w:eastAsia="仿宋_GB2312"/>
        </w:rPr>
        <w:t>8、具有履行合同所必需的设备和专业技术能力：提供具有履行合同所必需的设备和专业技术能力的承诺</w:t>
      </w:r>
    </w:p>
    <w:p>
      <w:pPr>
        <w:pStyle w:val="null3"/>
      </w:pPr>
      <w:r>
        <w:rPr>
          <w:rFonts w:ascii="仿宋_GB2312" w:hAnsi="仿宋_GB2312" w:cs="仿宋_GB2312" w:eastAsia="仿宋_GB2312"/>
        </w:rPr>
        <w:t>9、无重大违法记录：参加本次政府采购活动前三年内在经营活动中没有重大违法记录的书面声明。</w:t>
      </w:r>
    </w:p>
    <w:p>
      <w:pPr>
        <w:pStyle w:val="null3"/>
      </w:pPr>
      <w:r>
        <w:rPr>
          <w:rFonts w:ascii="仿宋_GB2312" w:hAnsi="仿宋_GB2312" w:cs="仿宋_GB2312" w:eastAsia="仿宋_GB2312"/>
        </w:rPr>
        <w:t>10、法定代表人授权书/法定代表人身份证明：法定代表人授权书（附法定代表人、被授权人身份证复印件及授权代表在本单位缴纳社保的证明），法定代表人直接参加磋商，须提供法定代表人身份证明、法定代表人身份证复印件及在本单位缴纳社保的证明；</w:t>
      </w:r>
    </w:p>
    <w:p>
      <w:pPr>
        <w:pStyle w:val="null3"/>
      </w:pPr>
      <w:r>
        <w:rPr>
          <w:rFonts w:ascii="仿宋_GB2312" w:hAnsi="仿宋_GB2312" w:cs="仿宋_GB2312" w:eastAsia="仿宋_GB2312"/>
        </w:rPr>
        <w:t>11、信用记录：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p>
      <w:pPr>
        <w:pStyle w:val="null3"/>
      </w:pPr>
      <w:r>
        <w:rPr>
          <w:rFonts w:ascii="仿宋_GB2312" w:hAnsi="仿宋_GB2312" w:cs="仿宋_GB2312" w:eastAsia="仿宋_GB2312"/>
        </w:rPr>
        <w:t>12、联合体：本项目不接受联合体磋商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三原县职业技术教育中心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陕西省咸阳市三原县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周兴石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13892969015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陕西鑫仟顺工程项目管理有限公司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陕西省咸阳市秦都区滨河西路大秦御港城10号楼1608室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毛凯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029-33253042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李强</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029-32269233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采购包1：1,633,434.11元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颁发的《招标代理服务收费管理暂行办法》（计价格[2002]1980号）和国家发展和改革委员会办公厅颁发的《关于招标代理服务收费有关问题的通知》（发改办价格[2003]857号）的有关规定，按标准收费执行。 2.成交单位在领取成交通知书前，须向采购代理机构一次性支付招标代理服务费。 3.招标代理服务费交纳信息： 户 名：陕西鑫仟顺工程项目管理有限公司 ，开户行：中国光大银行股份有限公司咸阳分行， 账 号：55930188000037709 请成交供应商按照要求将招标代理服务费汇入以上指定账户，如因自身原因发生错误，产生的不利后果均由成交供应商自行承担。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三原县职业技术教育中心</w:t>
      </w:r>
      <w:r>
        <w:rPr>
          <w:rFonts w:ascii="仿宋_GB2312" w:hAnsi="仿宋_GB2312" w:cs="仿宋_GB2312" w:eastAsia="仿宋_GB2312"/>
        </w:rPr>
        <w:t>和</w:t>
      </w:r>
      <w:r>
        <w:rPr>
          <w:rFonts w:ascii="仿宋_GB2312" w:hAnsi="仿宋_GB2312" w:cs="仿宋_GB2312" w:eastAsia="仿宋_GB2312"/>
        </w:rPr>
        <w:t>陕西鑫仟顺工程项目管理有限公司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三原县职业技术教育中心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陕西鑫仟顺工程项目管理有限公司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三原县职业技术教育中心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陕西鑫仟顺工程项目管理有限公司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达到国家现行行业验收规范“合格”标准。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陕西鑫仟顺工程项目管理有限公司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陕西鑫仟顺工程项目管理有限公司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陕西鑫仟顺工程项目管理有限公司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联系人：毛凯</w:t>
      </w:r>
    </w:p>
    <w:p>
      <w:pPr>
        <w:pStyle w:val="null3"/>
      </w:pPr>
      <w:r>
        <w:rPr>
          <w:rFonts w:ascii="仿宋_GB2312" w:hAnsi="仿宋_GB2312" w:cs="仿宋_GB2312" w:eastAsia="仿宋_GB2312"/>
        </w:rPr>
        <w:t>联系电话：029-33253042</w:t>
      </w:r>
    </w:p>
    <w:p>
      <w:pPr>
        <w:pStyle w:val="null3"/>
      </w:pPr>
      <w:r>
        <w:rPr>
          <w:rFonts w:ascii="仿宋_GB2312" w:hAnsi="仿宋_GB2312" w:cs="仿宋_GB2312" w:eastAsia="仿宋_GB2312"/>
        </w:rPr>
        <w:t>地址：陕西省咸阳市秦都区滨河西路大秦御港城10号楼1608室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1,633,434.11</w:t>
      </w:r>
    </w:p>
    <w:p>
      <w:pPr>
        <w:pStyle w:val="null3"/>
      </w:pPr>
      <w:r>
        <w:rPr>
          <w:rFonts w:ascii="仿宋_GB2312" w:hAnsi="仿宋_GB2312" w:cs="仿宋_GB2312" w:eastAsia="仿宋_GB2312"/>
        </w:rPr>
        <w:t>采购包最高限价（元）: 1,633,434.11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三原县职业技术教育中心培训基地操场二期改造项目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1,633,434.11</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标的名称：三原县职业技术教育中心培训基地操场二期改造项目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38"/>
              <w:jc w:val="both"/>
            </w:pPr>
            <w:r>
              <w:rPr>
                <w:rFonts w:ascii="仿宋_GB2312" w:hAnsi="仿宋_GB2312" w:cs="仿宋_GB2312" w:eastAsia="仿宋_GB2312"/>
                <w:sz w:val="24"/>
                <w:b/>
              </w:rPr>
              <w:t>一、项目概况</w:t>
            </w:r>
          </w:p>
          <w:p>
            <w:pPr>
              <w:pStyle w:val="null3"/>
              <w:ind w:firstLine="536"/>
              <w:jc w:val="both"/>
            </w:pPr>
            <w:r>
              <w:rPr>
                <w:rFonts w:ascii="仿宋_GB2312" w:hAnsi="仿宋_GB2312" w:cs="仿宋_GB2312" w:eastAsia="仿宋_GB2312"/>
                <w:sz w:val="24"/>
              </w:rPr>
              <w:t>1.项目名称：三原县职业技术教育中心培训基地操场二期改造项目</w:t>
            </w:r>
          </w:p>
          <w:p>
            <w:pPr>
              <w:pStyle w:val="null3"/>
              <w:ind w:firstLine="536"/>
              <w:jc w:val="both"/>
            </w:pPr>
            <w:r>
              <w:rPr>
                <w:rFonts w:ascii="仿宋_GB2312" w:hAnsi="仿宋_GB2312" w:cs="仿宋_GB2312" w:eastAsia="仿宋_GB2312"/>
                <w:sz w:val="24"/>
              </w:rPr>
              <w:t>2.建设内容：</w:t>
            </w:r>
            <w:r>
              <w:rPr>
                <w:rFonts w:ascii="仿宋_GB2312" w:hAnsi="仿宋_GB2312" w:cs="仿宋_GB2312" w:eastAsia="仿宋_GB2312"/>
                <w:sz w:val="24"/>
              </w:rPr>
              <w:t>操场面积</w:t>
            </w:r>
            <w:r>
              <w:rPr>
                <w:rFonts w:ascii="仿宋_GB2312" w:hAnsi="仿宋_GB2312" w:cs="仿宋_GB2312" w:eastAsia="仿宋_GB2312"/>
                <w:sz w:val="24"/>
              </w:rPr>
              <w:t>10000平方米。施工内容包括草坪、塑胶跑道、看台主席台、卫生间、绿化等</w:t>
            </w:r>
            <w:r>
              <w:rPr>
                <w:rFonts w:ascii="仿宋_GB2312" w:hAnsi="仿宋_GB2312" w:cs="仿宋_GB2312" w:eastAsia="仿宋_GB2312"/>
                <w:sz w:val="24"/>
              </w:rPr>
              <w:t>。</w:t>
            </w:r>
            <w:r>
              <w:rPr>
                <w:rFonts w:ascii="仿宋_GB2312" w:hAnsi="仿宋_GB2312" w:cs="仿宋_GB2312" w:eastAsia="仿宋_GB2312"/>
                <w:sz w:val="24"/>
              </w:rPr>
              <w:t>具体详见施工图纸及工程量清单全部内容</w:t>
            </w:r>
            <w:r>
              <w:rPr>
                <w:rFonts w:ascii="仿宋_GB2312" w:hAnsi="仿宋_GB2312" w:cs="仿宋_GB2312" w:eastAsia="仿宋_GB2312"/>
                <w:sz w:val="24"/>
              </w:rPr>
              <w:t>。</w:t>
            </w:r>
          </w:p>
          <w:p>
            <w:pPr>
              <w:pStyle w:val="null3"/>
              <w:ind w:firstLine="536"/>
              <w:jc w:val="both"/>
            </w:pPr>
            <w:r>
              <w:rPr>
                <w:rFonts w:ascii="仿宋_GB2312" w:hAnsi="仿宋_GB2312" w:cs="仿宋_GB2312" w:eastAsia="仿宋_GB2312"/>
                <w:sz w:val="24"/>
              </w:rPr>
              <w:t>3.项目地点：三原县职业技术教育中心</w:t>
            </w:r>
          </w:p>
          <w:p>
            <w:pPr>
              <w:pStyle w:val="null3"/>
              <w:ind w:firstLine="536"/>
              <w:jc w:val="both"/>
            </w:pPr>
            <w:r>
              <w:rPr>
                <w:rFonts w:ascii="仿宋_GB2312" w:hAnsi="仿宋_GB2312" w:cs="仿宋_GB2312" w:eastAsia="仿宋_GB2312"/>
                <w:sz w:val="24"/>
              </w:rPr>
              <w:t>4.工期：75日历天</w:t>
            </w:r>
          </w:p>
          <w:p>
            <w:pPr>
              <w:pStyle w:val="null3"/>
              <w:ind w:firstLine="536"/>
              <w:jc w:val="both"/>
            </w:pPr>
            <w:r>
              <w:rPr>
                <w:rFonts w:ascii="仿宋_GB2312" w:hAnsi="仿宋_GB2312" w:cs="仿宋_GB2312" w:eastAsia="仿宋_GB2312"/>
                <w:sz w:val="24"/>
              </w:rPr>
              <w:t>5.</w:t>
            </w:r>
            <w:r>
              <w:rPr>
                <w:rFonts w:ascii="仿宋_GB2312" w:hAnsi="仿宋_GB2312" w:cs="仿宋_GB2312" w:eastAsia="仿宋_GB2312"/>
                <w:sz w:val="24"/>
              </w:rPr>
              <w:t>质量要求：</w:t>
            </w:r>
            <w:r>
              <w:rPr>
                <w:rFonts w:ascii="仿宋_GB2312" w:hAnsi="仿宋_GB2312" w:cs="仿宋_GB2312" w:eastAsia="仿宋_GB2312"/>
                <w:sz w:val="24"/>
              </w:rPr>
              <w:t>符合国家及地方现行有关验收规范</w:t>
            </w:r>
            <w:r>
              <w:rPr>
                <w:rFonts w:ascii="仿宋_GB2312" w:hAnsi="仿宋_GB2312" w:cs="仿宋_GB2312" w:eastAsia="仿宋_GB2312"/>
                <w:sz w:val="24"/>
              </w:rPr>
              <w:t>“合格”标准。</w:t>
            </w:r>
          </w:p>
          <w:p>
            <w:pPr>
              <w:pStyle w:val="null3"/>
              <w:ind w:left="630"/>
              <w:jc w:val="both"/>
            </w:pPr>
            <w:r>
              <w:rPr>
                <w:rFonts w:ascii="仿宋_GB2312" w:hAnsi="仿宋_GB2312" w:cs="仿宋_GB2312" w:eastAsia="仿宋_GB2312"/>
                <w:sz w:val="24"/>
                <w:b/>
              </w:rPr>
              <w:t>二、编制依据：</w:t>
            </w:r>
          </w:p>
          <w:p>
            <w:pPr>
              <w:pStyle w:val="null3"/>
              <w:ind w:firstLine="536"/>
              <w:jc w:val="both"/>
            </w:pPr>
            <w:r>
              <w:rPr>
                <w:rFonts w:ascii="仿宋_GB2312" w:hAnsi="仿宋_GB2312" w:cs="仿宋_GB2312" w:eastAsia="仿宋_GB2312"/>
                <w:sz w:val="24"/>
              </w:rPr>
              <w:t>1.根据《陕西省建设工程工程量清单计价标准及计算标准》（2025）；陕西省住房和城乡建设厅文件《陕西省住房和城乡建设厅关于印发2025陕西省建设工程费用规则等计价依据的通知》（陕建管发【2025】10号）。</w:t>
            </w:r>
          </w:p>
          <w:p>
            <w:pPr>
              <w:pStyle w:val="null3"/>
              <w:ind w:firstLine="536"/>
              <w:jc w:val="both"/>
            </w:pPr>
            <w:r>
              <w:rPr>
                <w:rFonts w:ascii="仿宋_GB2312" w:hAnsi="仿宋_GB2312" w:cs="仿宋_GB2312" w:eastAsia="仿宋_GB2312"/>
                <w:sz w:val="24"/>
              </w:rPr>
              <w:t>2.《陕西省建设工程费用规则（2025）》。</w:t>
            </w:r>
          </w:p>
          <w:p>
            <w:pPr>
              <w:pStyle w:val="null3"/>
              <w:ind w:firstLine="536"/>
              <w:jc w:val="both"/>
            </w:pPr>
            <w:r>
              <w:rPr>
                <w:rFonts w:ascii="仿宋_GB2312" w:hAnsi="仿宋_GB2312" w:cs="仿宋_GB2312" w:eastAsia="仿宋_GB2312"/>
                <w:sz w:val="24"/>
              </w:rPr>
              <w:t>3.《陕西省房屋建筑与装饰工程基价表(2025)》、《陕西省通用安装工程基价表(2025)》、《陕西省市政工程基价表(2025)》、《陕西省园林绿化工程基价表(2025)》、《陕西省城市地下综合管廊工程基价表(2025)》、《陕西省绿色建筑工程基价表(2025)》。</w:t>
            </w:r>
          </w:p>
          <w:p>
            <w:pPr>
              <w:pStyle w:val="null3"/>
              <w:ind w:firstLine="536"/>
              <w:jc w:val="both"/>
            </w:pPr>
            <w:r>
              <w:rPr>
                <w:rFonts w:ascii="仿宋_GB2312" w:hAnsi="仿宋_GB2312" w:cs="仿宋_GB2312" w:eastAsia="仿宋_GB2312"/>
                <w:sz w:val="24"/>
              </w:rPr>
              <w:t>4.《陕西省房屋建筑与装饰工程消耗量定额（2025）》、《陕西省通用安装工程消耗量定额（2025）》、《陕西省市政工程消耗量定额（2025）》、《陕西省园林绿化工程消耗量定额（2025）》、《陕西省城市地下综合管廊工程消耗量定额（2025）》、《陕西省绿色建筑工程消耗量定额（2025）》、《陕西省建设工程施工机械台班费用定额(2025)》、《陕西省建设工程施工仪器仪表台班费用定额(2025)》。</w:t>
            </w:r>
          </w:p>
          <w:p>
            <w:pPr>
              <w:pStyle w:val="null3"/>
              <w:ind w:firstLine="536"/>
              <w:jc w:val="both"/>
            </w:pPr>
            <w:r>
              <w:rPr>
                <w:rFonts w:ascii="仿宋_GB2312" w:hAnsi="仿宋_GB2312" w:cs="仿宋_GB2312" w:eastAsia="仿宋_GB2312"/>
                <w:sz w:val="24"/>
              </w:rPr>
              <w:t>5.材料价格按照《咸阳工程造价信息》2026年第1期信息价结合市场价计入。</w:t>
            </w:r>
          </w:p>
          <w:p>
            <w:pPr>
              <w:pStyle w:val="null3"/>
              <w:ind w:firstLine="536"/>
              <w:jc w:val="both"/>
            </w:pPr>
            <w:r>
              <w:rPr>
                <w:rFonts w:ascii="仿宋_GB2312" w:hAnsi="仿宋_GB2312" w:cs="仿宋_GB2312" w:eastAsia="仿宋_GB2312"/>
                <w:sz w:val="24"/>
              </w:rPr>
              <w:t>6.建设工程项目有关的标准、规范、图集、技术资料。</w:t>
            </w:r>
          </w:p>
          <w:p>
            <w:pPr>
              <w:pStyle w:val="null3"/>
              <w:ind w:firstLine="536"/>
              <w:jc w:val="both"/>
            </w:pPr>
            <w:r>
              <w:rPr>
                <w:rFonts w:ascii="仿宋_GB2312" w:hAnsi="仿宋_GB2312" w:cs="仿宋_GB2312" w:eastAsia="仿宋_GB2312"/>
                <w:sz w:val="24"/>
              </w:rPr>
              <w:t>7.常规施工组织设计及施工方法。</w:t>
            </w:r>
          </w:p>
          <w:p>
            <w:pPr>
              <w:pStyle w:val="null3"/>
              <w:ind w:firstLine="536"/>
              <w:jc w:val="both"/>
            </w:pPr>
            <w:r>
              <w:rPr>
                <w:rFonts w:ascii="仿宋_GB2312" w:hAnsi="仿宋_GB2312" w:cs="仿宋_GB2312" w:eastAsia="仿宋_GB2312"/>
                <w:sz w:val="24"/>
              </w:rPr>
              <w:t>8.该项目无暂列金。</w:t>
            </w:r>
          </w:p>
          <w:p>
            <w:pPr>
              <w:pStyle w:val="null3"/>
              <w:ind w:firstLine="538"/>
              <w:jc w:val="both"/>
            </w:pPr>
            <w:r>
              <w:rPr>
                <w:rFonts w:ascii="仿宋_GB2312" w:hAnsi="仿宋_GB2312" w:cs="仿宋_GB2312" w:eastAsia="仿宋_GB2312"/>
                <w:sz w:val="24"/>
                <w:b/>
              </w:rPr>
              <w:t>三、其他说明：</w:t>
            </w:r>
          </w:p>
          <w:p>
            <w:pPr>
              <w:pStyle w:val="null3"/>
              <w:ind w:firstLine="536"/>
              <w:jc w:val="left"/>
            </w:pPr>
            <w:r>
              <w:rPr>
                <w:rFonts w:ascii="仿宋_GB2312" w:hAnsi="仿宋_GB2312" w:cs="仿宋_GB2312" w:eastAsia="仿宋_GB2312"/>
                <w:sz w:val="24"/>
              </w:rPr>
              <w:t>1.计价软件：</w:t>
            </w:r>
            <w:r>
              <w:rPr>
                <w:rFonts w:ascii="仿宋_GB2312" w:hAnsi="仿宋_GB2312" w:cs="仿宋_GB2312" w:eastAsia="仿宋_GB2312"/>
                <w:sz w:val="24"/>
              </w:rPr>
              <w:t>本工程量清单采用广联达计价软件</w:t>
            </w:r>
            <w:r>
              <w:rPr>
                <w:rFonts w:ascii="仿宋_GB2312" w:hAnsi="仿宋_GB2312" w:cs="仿宋_GB2312" w:eastAsia="仿宋_GB2312"/>
                <w:sz w:val="24"/>
              </w:rPr>
              <w:t>GCCP</w:t>
            </w:r>
            <w:r>
              <w:rPr>
                <w:rFonts w:ascii="仿宋_GB2312" w:hAnsi="仿宋_GB2312" w:cs="仿宋_GB2312" w:eastAsia="仿宋_GB2312"/>
                <w:sz w:val="24"/>
              </w:rPr>
              <w:t>7</w:t>
            </w:r>
            <w:r>
              <w:rPr>
                <w:rFonts w:ascii="仿宋_GB2312" w:hAnsi="仿宋_GB2312" w:cs="仿宋_GB2312" w:eastAsia="仿宋_GB2312"/>
                <w:sz w:val="24"/>
              </w:rPr>
              <w:t>.0中的清单计价模式编制，软件版本陕西（</w:t>
            </w:r>
            <w:r>
              <w:rPr>
                <w:rFonts w:ascii="仿宋_GB2312" w:hAnsi="仿宋_GB2312" w:cs="仿宋_GB2312" w:eastAsia="仿宋_GB2312"/>
                <w:sz w:val="24"/>
              </w:rPr>
              <w:t>7.50</w:t>
            </w:r>
            <w:r>
              <w:rPr>
                <w:rFonts w:ascii="仿宋_GB2312" w:hAnsi="仿宋_GB2312" w:cs="仿宋_GB2312" w:eastAsia="仿宋_GB2312"/>
                <w:sz w:val="24"/>
              </w:rPr>
              <w:t>00.23.</w:t>
            </w:r>
            <w:r>
              <w:rPr>
                <w:rFonts w:ascii="仿宋_GB2312" w:hAnsi="仿宋_GB2312" w:cs="仿宋_GB2312" w:eastAsia="仿宋_GB2312"/>
                <w:sz w:val="24"/>
              </w:rPr>
              <w:t>2</w:t>
            </w:r>
            <w:r>
              <w:rPr>
                <w:rFonts w:ascii="仿宋_GB2312" w:hAnsi="仿宋_GB2312" w:cs="仿宋_GB2312" w:eastAsia="仿宋_GB2312"/>
                <w:sz w:val="24"/>
              </w:rPr>
              <w:t>）；</w:t>
            </w:r>
          </w:p>
          <w:p>
            <w:pPr>
              <w:pStyle w:val="null3"/>
              <w:ind w:firstLine="536"/>
              <w:jc w:val="left"/>
            </w:pPr>
            <w:r>
              <w:rPr>
                <w:rFonts w:ascii="仿宋_GB2312" w:hAnsi="仿宋_GB2312" w:cs="仿宋_GB2312" w:eastAsia="仿宋_GB2312"/>
                <w:sz w:val="24"/>
              </w:rPr>
              <w:t>2.编制范围：采购人明确的全部工程内容，具体详见工程量清单及图纸。</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供应商需在项目电子化交易系统中按要求上传相应证明文件并进行电子签章。与供应商特殊资格要求“财务状况报告”为同一审查项。</w:t>
            </w:r>
          </w:p>
        </w:tc>
        <w:tc>
          <w:tcPr>
            <w:tcW w:type="dxa" w:w="1661"/>
          </w:tcPr>
          <w:p>
            <w:pPr>
              <w:pStyle w:val="null3"/>
            </w:pPr>
            <w:r>
              <w:rPr>
                <w:rFonts w:ascii="仿宋_GB2312" w:hAnsi="仿宋_GB2312" w:cs="仿宋_GB2312" w:eastAsia="仿宋_GB2312"/>
              </w:rPr>
              <w:t>供应商应提交的相关资格证明材料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具有独立承担民事责任能力的法人、其他组织或自然人，提供合法有效的营业执照/事业单位法人证书/专业服务机构执业许可证/民办非企业单位登记证书等相关证明，自然人参与的提供其身份证明。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供应商须具备建设行政主管部门颁发的建筑工程施工总承包三级及以上资质，并具备建设行政主管部门颁发的安全生产许可证。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证书等级：二级注册建造师 专业：建筑工程 补充说明：具有有效的安全生产考核合格证(B证)，且未担任其他在建工程项目的项目经理（提供无在建工程证明）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投标人及拟派项目负责人查询</w:t>
            </w:r>
          </w:p>
        </w:tc>
        <w:tc>
          <w:tcPr>
            <w:tcW w:type="dxa" w:w="3322"/>
          </w:tcPr>
          <w:p>
            <w:pPr>
              <w:pStyle w:val="null3"/>
            </w:pPr>
            <w:r>
              <w:rPr>
                <w:rFonts w:ascii="仿宋_GB2312" w:hAnsi="仿宋_GB2312" w:cs="仿宋_GB2312" w:eastAsia="仿宋_GB2312"/>
              </w:rPr>
              <w:t>省内供应商资质基本信息及项目负责人基本信息应在“陕西省住房和城乡建设厅网（http://js.shaanxi.gov.cn/）-办事服务-企业库可查询；省外供应商资质基本信息及项目负责人基本信息应在“陕西省住房和城乡建设厅网（http://js.shaanxi.gov.cn/）-办事服务-企业库-外省进陕施工企业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财务情况</w:t>
            </w:r>
          </w:p>
        </w:tc>
        <w:tc>
          <w:tcPr>
            <w:tcW w:type="dxa" w:w="3322"/>
          </w:tcPr>
          <w:p>
            <w:pPr>
              <w:pStyle w:val="null3"/>
            </w:pPr>
            <w:r>
              <w:rPr>
                <w:rFonts w:ascii="仿宋_GB2312" w:hAnsi="仿宋_GB2312" w:cs="仿宋_GB2312" w:eastAsia="仿宋_GB2312"/>
              </w:rPr>
              <w:t>提供2024年度经审计完整的财务审计报告（成立时间至提交磋商响应文件截止时间不足一年的可提供成立后任意时段的资产负债表）或磋商截止日前六个月内基本存款账户开户银行出具的资信证明（附开户许可证或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提供磋商截止日前六个月内任意一个月的纳税证明或完税证明（增值税、印花税、城市维护建设费、企业所得税等一种或多种税种），依法免税的单位提供相关证明材料。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提供磋商截止日前六个月内任意一个月的社保资金交纳证明，依法不需要缴纳社保资金的单位提供相关证明材料。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法定代表人授权书（附法定代表人、被授权人身份证复印件及授权代表在本单位缴纳社保的证明），法定代表人直接参加磋商，须提供法定代表人身份证明、法定代表人身份证复印件及在本单位缴纳社保的证明；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首次磋商报价一览表.docx 已标价工程量清单 中小企业声明函 残疾人福利性单位声明函 报价函 标的清单 商务、技术偏离表.docx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已标价工程量清单 供应商认为需要提交的其他资料.docx 中小企业声明函 技术服务合同条款及其他商务要求应答表 供应商应提交的相关资格证明材料 磋商方案说明书.docx 商务、技术偏离表.docx 资格证明文件.docx 供应商承诺书.docx 强制优先采购产品承诺函 响应文件封面 首次磋商报价一览表.docx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首次磋商报价一览表.docx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w:t>
            </w:r>
          </w:p>
        </w:tc>
        <w:tc>
          <w:tcPr>
            <w:tcW w:type="dxa" w:w="3322"/>
          </w:tcPr>
          <w:p>
            <w:pPr>
              <w:pStyle w:val="null3"/>
            </w:pPr>
            <w:r>
              <w:rPr>
                <w:rFonts w:ascii="仿宋_GB2312" w:hAnsi="仿宋_GB2312" w:cs="仿宋_GB2312" w:eastAsia="仿宋_GB2312"/>
              </w:rPr>
              <w:t>应满足磋商文件中要求的质量</w:t>
            </w:r>
          </w:p>
        </w:tc>
        <w:tc>
          <w:tcPr>
            <w:tcW w:type="dxa" w:w="1661"/>
          </w:tcPr>
          <w:p>
            <w:pPr>
              <w:pStyle w:val="null3"/>
            </w:pPr>
            <w:r>
              <w:rPr>
                <w:rFonts w:ascii="仿宋_GB2312" w:hAnsi="仿宋_GB2312" w:cs="仿宋_GB2312" w:eastAsia="仿宋_GB2312"/>
              </w:rPr>
              <w:t>首次磋商报价一览表.docx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（1）磋商报价符合唯一性要求；（2）第一次磋商报价表填写符合要求；（3）计量单位、报价货币均符合磋商文件要求；（4）未超出采购预算或磋商文件规定的最高限价。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响应文件封面 首次磋商报价一览表.docx 报价函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应符合本项目工程量清单以及清单说明的要求</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 附加条件。</w:t>
            </w:r>
          </w:p>
        </w:tc>
        <w:tc>
          <w:tcPr>
            <w:tcW w:type="dxa" w:w="1661"/>
          </w:tcPr>
          <w:p>
            <w:pPr>
              <w:pStyle w:val="null3"/>
            </w:pPr>
            <w:r>
              <w:rPr>
                <w:rFonts w:ascii="仿宋_GB2312" w:hAnsi="仿宋_GB2312" w:cs="仿宋_GB2312" w:eastAsia="仿宋_GB2312"/>
              </w:rPr>
              <w:t>技术服务合同条款及其他商务要求应答表 商务、技术偏离表.docx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人员配备情况</w:t>
            </w:r>
          </w:p>
        </w:tc>
        <w:tc>
          <w:tcPr>
            <w:tcW w:type="dxa" w:w="2492"/>
          </w:tcPr>
          <w:p>
            <w:pPr>
              <w:pStyle w:val="null3"/>
            </w:pPr>
            <w:r>
              <w:rPr>
                <w:rFonts w:ascii="仿宋_GB2312" w:hAnsi="仿宋_GB2312" w:cs="仿宋_GB2312" w:eastAsia="仿宋_GB2312"/>
              </w:rPr>
              <w:t>供应商的项目经理部组成及劳动力投入配备合理，完全满足工作要求，得12分； 供应商的项目经理部组成及劳动力投入配备较为合理，基本满足工作要求，得8分； 供应商的项目经理部组成及劳动力投入配备不合理、配置较差，未能完全满足工作要求,得4分。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安全、文明施工措施、环境保护措 施及确保治污减霾和防 尘污染的技术组织措施</w:t>
            </w:r>
          </w:p>
        </w:tc>
        <w:tc>
          <w:tcPr>
            <w:tcW w:type="dxa" w:w="2492"/>
          </w:tcPr>
          <w:p>
            <w:pPr>
              <w:pStyle w:val="null3"/>
            </w:pPr>
            <w:r>
              <w:rPr>
                <w:rFonts w:ascii="仿宋_GB2312" w:hAnsi="仿宋_GB2312" w:cs="仿宋_GB2312" w:eastAsia="仿宋_GB2312"/>
              </w:rPr>
              <w:t>供应商有完善的安全、文明施工措施、环境保护措施及确保治污减霾和防尘污染的技术组织措施，措施编制完整合理、可操作性强，得9分； 供应商的安全 、文明施工措施、环境保护措施及确保治污减霾和防尘污染的技术组织措施基本合理、操作性一般，得6分； 供应商提供的安全、文明施工措施、环境保护措施及确保治污减霾和防尘污染的技术组织措施不尽完善、操作性不强、不能完全满足工作要求，得3分。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施工质量及施工进度保证措施、明确的项目职责与分工</w:t>
            </w:r>
          </w:p>
        </w:tc>
        <w:tc>
          <w:tcPr>
            <w:tcW w:type="dxa" w:w="2492"/>
          </w:tcPr>
          <w:p>
            <w:pPr>
              <w:pStyle w:val="null3"/>
            </w:pPr>
            <w:r>
              <w:rPr>
                <w:rFonts w:ascii="仿宋_GB2312" w:hAnsi="仿宋_GB2312" w:cs="仿宋_GB2312" w:eastAsia="仿宋_GB2312"/>
              </w:rPr>
              <w:t>供应商有完善的施工质量及施工进度保证措施、明确的项目职责与分工，能有效地保证服务质量，确保按时按量完成服务工作，得9分； 供应商的施工质量及施工进度保证措施完善、程序措施较为规范合理，得6分； 供应商的施工质量及施工进度保证措施不尽完善、不能完全满足工作要求，得3分。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突发事件处理预案措施</w:t>
            </w:r>
          </w:p>
        </w:tc>
        <w:tc>
          <w:tcPr>
            <w:tcW w:type="dxa" w:w="2492"/>
          </w:tcPr>
          <w:p>
            <w:pPr>
              <w:pStyle w:val="null3"/>
            </w:pPr>
            <w:r>
              <w:rPr>
                <w:rFonts w:ascii="仿宋_GB2312" w:hAnsi="仿宋_GB2312" w:cs="仿宋_GB2312" w:eastAsia="仿宋_GB2312"/>
              </w:rPr>
              <w:t>具有详细、实用、可行的突发事件处理预案措施，包括但不限于工伤事故、劳务纠纷；突发事件应急预案，详细、实用、切实可行性强得9分； 突发事件应急预案，较详细、较实用、可行性较强得6分； 突发事件应急预案，实用性一般，可行性较弱得3分。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提供的项目施工方案详细、合理、全面，得9分； 提供的项目施工方案较详细 、基本合理，得6分； 提供的项目施工方案有缺陷或不太合理，前后矛盾，得3分.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主要材料供应计划及施工机械配备投入计划</w:t>
            </w:r>
          </w:p>
        </w:tc>
        <w:tc>
          <w:tcPr>
            <w:tcW w:type="dxa" w:w="2492"/>
          </w:tcPr>
          <w:p>
            <w:pPr>
              <w:pStyle w:val="null3"/>
            </w:pPr>
            <w:r>
              <w:rPr>
                <w:rFonts w:ascii="仿宋_GB2312" w:hAnsi="仿宋_GB2312" w:cs="仿宋_GB2312" w:eastAsia="仿宋_GB2312"/>
              </w:rPr>
              <w:t>供应商所制定的主要材料供应计划及施工机械配备投入计划详细合理，可操作性强，机械工具配置齐全、情况良好。得9分； 供应商所制定的主要材料供应计划及施工机械配备投入计划较详细合理，可操作性一般，基本满足工作要求 , 得6分。 供应商所制定的主要材料供应计划及施工机械配备投入计划基本合理，操作性差，不能满足工作要求，得3分。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根据供应商提供的服务承诺（包括但不限于工期、工程质量、安全方面）的情况赋分。描述详尽、具体、可行性强得9分； 描述较详尽、较具体、可行性一般得6分； 描述简单、不具体计3分。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2023年04月01日至今类似项目业绩，每提供1份得2分，最高得4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 ×30的公式计算得分。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详见附件：首次磋商报价一览表.docx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详见附件：商务、技术偏离表.docx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详见附件：供应商认为需要提交的其他资料.docx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详见附件：第8章 拟签订的合同条款.docx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