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版本号：ZHYL-ZB-20260331-013120260408001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三原县西阳镇五泉至五联绿化项目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ZHYL-ZB-20260331-0131</w:t>
      </w:r>
      <w:r>
        <w:br/>
      </w:r>
      <w:r>
        <w:br/>
      </w:r>
      <w:r>
        <w:br/>
      </w:r>
    </w:p>
    <w:p>
      <w:pPr>
        <w:pStyle w:val="null3"/>
        <w:jc w:val="center"/>
        <w:outlineLvl w:val="2"/>
      </w:pPr>
      <w:r>
        <w:rPr>
          <w:rFonts w:ascii="仿宋_GB2312" w:hAnsi="仿宋_GB2312" w:cs="仿宋_GB2312" w:eastAsia="仿宋_GB2312"/>
          <w:sz w:val="28"/>
          <w:b/>
        </w:rPr>
        <w:t>三原县西阳镇人民政府</w:t>
      </w:r>
    </w:p>
    <w:p>
      <w:pPr>
        <w:pStyle w:val="null3"/>
        <w:jc w:val="center"/>
        <w:outlineLvl w:val="2"/>
      </w:pPr>
      <w:r>
        <w:rPr>
          <w:rFonts w:ascii="仿宋_GB2312" w:hAnsi="仿宋_GB2312" w:cs="仿宋_GB2312" w:eastAsia="仿宋_GB2312"/>
          <w:sz w:val="28"/>
          <w:b/>
        </w:rPr>
        <w:t>陕西中恒亿林管理咨询有限公司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陕西中恒亿林管理咨询有限公司</w:t>
      </w:r>
      <w:r>
        <w:rPr>
          <w:rFonts w:ascii="仿宋_GB2312" w:hAnsi="仿宋_GB2312" w:cs="仿宋_GB2312" w:eastAsia="仿宋_GB2312"/>
        </w:rPr>
        <w:t>（以下简称“代理机构”）受</w:t>
      </w:r>
      <w:r>
        <w:rPr>
          <w:rFonts w:ascii="仿宋_GB2312" w:hAnsi="仿宋_GB2312" w:cs="仿宋_GB2312" w:eastAsia="仿宋_GB2312"/>
        </w:rPr>
        <w:t>三原县西阳镇人民政府</w:t>
      </w:r>
      <w:r>
        <w:rPr>
          <w:rFonts w:ascii="仿宋_GB2312" w:hAnsi="仿宋_GB2312" w:cs="仿宋_GB2312" w:eastAsia="仿宋_GB2312"/>
        </w:rPr>
        <w:t>委托，拟对</w:t>
      </w:r>
      <w:r>
        <w:rPr>
          <w:rFonts w:ascii="仿宋_GB2312" w:hAnsi="仿宋_GB2312" w:cs="仿宋_GB2312" w:eastAsia="仿宋_GB2312"/>
        </w:rPr>
        <w:t>三原县西阳镇五泉至五联绿化项目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ZHYL-ZB-20260331-0131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三原县西阳镇五泉至五联绿化项目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三原县西阳镇五泉至五联绿化项目，主要包括整理绿化用地、苗木种植等工作内容。详见磋商文件第三章及本项目工程量清单。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采购包1（三原县西阳镇五泉至五联绿化项目）：属于专门面向中小企业采购。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1、营业执照及主体资格：具有独立承担民事责任能力的法人、其他组织或自然人，并出具合法有效的营业执照或事业单位法人证书等国家规定的相关证明，自然人参与的提供其身份证明；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2、法定代表人授权委托书：法定代表人委托代理人参加投标时，应提供法定代表人授权委托书；法定代表人亲自参加投标时，应提供法定代表人身份证明书；</w:t>
      </w:r>
    </w:p>
    <w:p>
      <w:pPr>
        <w:pStyle w:val="null3"/>
      </w:pPr>
      <w:r>
        <w:rPr>
          <w:rFonts w:ascii="仿宋_GB2312" w:hAnsi="仿宋_GB2312" w:cs="仿宋_GB2312" w:eastAsia="仿宋_GB2312"/>
        </w:rPr>
        <w:t>3、财务状况报告：提供会计师事务所出具的完整的2023年或2024年或2025年度审计报告（成立时间至提交响应文件截止时间不足一年的可提供成立后任意时段的资产负债表），或提交响应文件截止时间前六个月内银行出具的资信证明（以上形式的资料提供任何一种即可）；其他组织提供银行出具的资信证明或财务报表；</w:t>
      </w:r>
    </w:p>
    <w:p>
      <w:pPr>
        <w:pStyle w:val="null3"/>
      </w:pPr>
      <w:r>
        <w:rPr>
          <w:rFonts w:ascii="仿宋_GB2312" w:hAnsi="仿宋_GB2312" w:cs="仿宋_GB2312" w:eastAsia="仿宋_GB2312"/>
        </w:rPr>
        <w:t>4、税收缴纳证明：提供2025年1月至今已缴纳的至少一个月的纳税证明或完税证明（时间以税款所属日期为准），依法免税的单位应提供相关证明材料；</w:t>
      </w:r>
    </w:p>
    <w:p>
      <w:pPr>
        <w:pStyle w:val="null3"/>
      </w:pPr>
      <w:r>
        <w:rPr>
          <w:rFonts w:ascii="仿宋_GB2312" w:hAnsi="仿宋_GB2312" w:cs="仿宋_GB2312" w:eastAsia="仿宋_GB2312"/>
        </w:rPr>
        <w:t>5、社会保障资金缴纳证明：提供2025年1月至今已缴存的至少一个月的社会保障资金缴存单据或社保机构开具的社会保险参保缴费情况证明，依法不需要缴纳社会保障资金的单位应提供相关证明材料；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6、书面声明：参加政府采购活动前三年内在经营活动中没有重大违法记录的书面声明；具有履行合同所必须的设备和专业技术能力的书面声明；</w:t>
      </w:r>
    </w:p>
    <w:p>
      <w:pPr>
        <w:pStyle w:val="null3"/>
      </w:pPr>
      <w:r>
        <w:rPr>
          <w:rFonts w:ascii="仿宋_GB2312" w:hAnsi="仿宋_GB2312" w:cs="仿宋_GB2312" w:eastAsia="仿宋_GB2312"/>
        </w:rPr>
        <w:t>7、信用：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8、控股管理关系：供应商负责人不得为同一人或者存在控股、管理关系；</w:t>
      </w:r>
    </w:p>
    <w:p>
      <w:pPr>
        <w:pStyle w:val="null3"/>
      </w:pPr>
      <w:r>
        <w:rPr>
          <w:rFonts w:ascii="仿宋_GB2312" w:hAnsi="仿宋_GB2312" w:cs="仿宋_GB2312" w:eastAsia="仿宋_GB2312"/>
        </w:rPr>
        <w:t>9、非联合体：本项目不接受联合体，供应商需在项目电子化交易系统中按要求上传相应证明文件并进行电子签章；</w:t>
      </w:r>
    </w:p>
    <w:p>
      <w:pPr>
        <w:pStyle w:val="null3"/>
      </w:pPr>
      <w:r>
        <w:rPr>
          <w:rFonts w:ascii="仿宋_GB2312" w:hAnsi="仿宋_GB2312" w:cs="仿宋_GB2312" w:eastAsia="仿宋_GB2312"/>
        </w:rPr>
        <w:t>10、落实政府采购政策需满足的资格要求：本项目专门面向中小企业，（提供中小企业声明函或残疾人福利性单位声明函或监狱企业的证明文件）。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三原县西阳镇人民政府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三原县西阳镇镇政府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15129955149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陕西中恒亿林管理咨询有限公司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陕西省西安市浐灞生态区兴泰南路369号丝所路国际创意梦工场2期5幢10501室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温博文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18092467441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采购包1：981,790.16元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发改价格【2015】299号文及发改价格【2011】534号文的收费标准计取；造价费按陕价行发2014年88号文标准计取。采购代理服务费少于6000元，按6000元计取。 采购代理服务费账户： 公司名称：陕西中恒亿林管理咨询有限公司 银行账号：61050111115700000426 开户行：中国建设银行股份有限公司西安浐灞二路支行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三原县西阳镇人民政府</w:t>
      </w:r>
      <w:r>
        <w:rPr>
          <w:rFonts w:ascii="仿宋_GB2312" w:hAnsi="仿宋_GB2312" w:cs="仿宋_GB2312" w:eastAsia="仿宋_GB2312"/>
        </w:rPr>
        <w:t>和</w:t>
      </w:r>
      <w:r>
        <w:rPr>
          <w:rFonts w:ascii="仿宋_GB2312" w:hAnsi="仿宋_GB2312" w:cs="仿宋_GB2312" w:eastAsia="仿宋_GB2312"/>
        </w:rPr>
        <w:t>陕西中恒亿林管理咨询有限公司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三原县西阳镇人民政府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陕西中恒亿林管理咨询有限公司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三原县西阳镇人民政府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陕西中恒亿林管理咨询有限公司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项目按照计划施工完成后，经采购人组织验收并达到合格标准，苗木保证高成活率，符合《城市园林绿化项目及验收规范》（DB11- T212-2003）。</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陕西中恒亿林管理咨询有限公司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陕西中恒亿林管理咨询有限公司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陕西中恒亿林管理咨询有限公司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联系人：温博文</w:t>
      </w:r>
    </w:p>
    <w:p>
      <w:pPr>
        <w:pStyle w:val="null3"/>
      </w:pPr>
      <w:r>
        <w:rPr>
          <w:rFonts w:ascii="仿宋_GB2312" w:hAnsi="仿宋_GB2312" w:cs="仿宋_GB2312" w:eastAsia="仿宋_GB2312"/>
        </w:rPr>
        <w:t>联系电话：18092467441</w:t>
      </w:r>
    </w:p>
    <w:p>
      <w:pPr>
        <w:pStyle w:val="null3"/>
      </w:pPr>
      <w:r>
        <w:rPr>
          <w:rFonts w:ascii="仿宋_GB2312" w:hAnsi="仿宋_GB2312" w:cs="仿宋_GB2312" w:eastAsia="仿宋_GB2312"/>
        </w:rPr>
        <w:t>地址：陕西省西安市浐灞生态区兴泰南路369号丝所路国际创意梦工场2期5幢10501室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981,790.16</w:t>
      </w:r>
    </w:p>
    <w:p>
      <w:pPr>
        <w:pStyle w:val="null3"/>
      </w:pPr>
      <w:r>
        <w:rPr>
          <w:rFonts w:ascii="仿宋_GB2312" w:hAnsi="仿宋_GB2312" w:cs="仿宋_GB2312" w:eastAsia="仿宋_GB2312"/>
        </w:rPr>
        <w:t>采购包最高限价（元）: 980,056.99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三原县西阳镇五泉至五联绿化项目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981,790.16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标的名称：三原县西阳镇五泉至五联绿化项目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1.供应商应保证苗木高成活率，服务内容包括但不限于苗木运输、倒运、场地整理、土壤改良、栽植、后期养护及垃圾清运等全部相关工作。 2.服务期内供应商必须派专职养护人员进行常态化养护，保证苗木生长周期内长势良好，无杂草、无病虫害。发现死株、枯株、长势不良（含黄叶）及损坏植株需及时更换。供货商应在接到通知后 2 小时内赶到现场处理问题。 3.售后服务响应：供应商通过 7×24 小时热线、5×8 小时网络传真、在线解答及电子邮件等方式及时响应采购人需求，并在 48 小时内提供现场养护、补植、技术指导等相关服务，确保苗木成活率及正常生长。 4.供应商还需配备专职维护人员，每日对所管辖的区域进行定期巡查，发现损坏区域立即进行更换，保证按采购人的养护要求完成。 5.施工期间配备合适的项目人员（例如项目经理、技术负责人、采购经理、合约商务负责人、施工员、安全员等），做好施工组织的同时做好安全文明施工、环境保护等工作。严格按安全操作规程组织施工，杜绝伤亡事故的发生。同时要防止噪音污染、扬尘污染、水源污染，及时清理现场垃圾，保证道路通行顺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1、工期：自合同签定之日起30日历天。 2、履约地点：采购人指定地点。 3、支付约定：合同签订后支付预付款，达到付款条件起10日内，支付合同总金额的 40%；待履约验收合格后，达到付款条件起10日内，支付合同总金额的的60%。 4、质保期：养护期1年，养护期自竣工验收合格之日算起。 5、为顺利推进政府采购电子化交易平台应用工作，供应商需要在线提交所有通过电子化交易平台实施的政府采购项目的响应文件，投标时投标供应商无需提供纸质版投标文件。成交人（中标人）在领取中标通知书前将纸质版投标文件正本1份、副本1份打印盖章提交至招标代理公司处（陕西省西安市浐灞生态区兴泰南路369号丝所路国际创意梦工场2期5幢10501室），以便采购人进行留存备案等工作，中标人应保持投标文件纸质版内容与电子版（系统上传）内容完全一致，否则将承担一切法律责任。纸质投标文件一律采用书籍（胶装）方式装订、鼓励双面打印。 6、根据《陕西省财政厅关于持续优化政府采购营商环境有关事项的通知》（陕财办采〔2024〕9 号）文规定，采购人要在中标（成交）通知书发出之日起 25 日内，按照采购文件确定的事项与中标（成交）供应商签订政府采购合同，不得以自身原因拖延；因不可抗力迟延的，须在不可抗力消除后 7 日内完成签约。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会计师事务所出具的完整的2023年或2024年或2025年度审计报告（成立时间至提交响应文件截止时间不足一年的可提供成立后任意时段的资产负债表），或提交响应文件截止时间前六个月内银行出具的资信证明（以上形式的资料提供任何一种即可）；其他组织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响应文件封面 中小企业声明函 残疾人福利性单位声明函 磋商实施方案.docx 监狱企业的证明文件 技术、服务、商务及其他要求响应偏离表.docx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法定代表人委托代理人参加投标时，应提供法定代表人授权委托书；法定代表人亲自参加投标时，应提供法定代表人身份证明书；</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会计师事务所出具的完整的2023年或2024年或2025年度审计报告（成立时间至提交响应文件截止时间不足一年的可提供成立后任意时段的资产负债表），或提交响应文件截止时间前六个月内银行出具的资信证明（以上形式的资料提供任何一种即可）；其他组织提供银行出具的资信证明或财务报表；</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提供2025年1月至今已缴纳的至少一个月的纳税证明或完税证明（时间以税款所属日期为准），依法免税的单位应提供相关证明材料；</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参加政府采购活动前三年内在经营活动中没有重大违法记录的书面声明；具有履行合同所必须的设备和专业技术能力的书面声明；</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供应商负责人不得为同一人或者存在控股、管理关系；</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本项目专门面向中小企业，（提供中小企业声明函或残疾人福利性单位声明函或监狱企业的证明文件）。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磋商实施方案.docx 标的清单 资格证明文件格式.docx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磋商实施方案.docx 标的清单 资格证明文件格式.docx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完全响应磋商文件要求的各项技术（服务）、商务实质性条款，不能有采购人不能接受的附加条件。</w:t>
            </w:r>
          </w:p>
        </w:tc>
        <w:tc>
          <w:tcPr>
            <w:tcW w:type="dxa" w:w="1661"/>
          </w:tcPr>
          <w:p>
            <w:pPr>
              <w:pStyle w:val="null3"/>
            </w:pPr>
            <w:r>
              <w:rPr>
                <w:rFonts w:ascii="仿宋_GB2312" w:hAnsi="仿宋_GB2312" w:cs="仿宋_GB2312" w:eastAsia="仿宋_GB2312"/>
              </w:rPr>
              <w:t>响应文件封面 技术、服务、商务及其他要求响应偏离表.docx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施工及苗木养护方案</w:t>
            </w:r>
          </w:p>
        </w:tc>
        <w:tc>
          <w:tcPr>
            <w:tcW w:type="dxa" w:w="2492"/>
          </w:tcPr>
          <w:p>
            <w:pPr>
              <w:pStyle w:val="null3"/>
            </w:pPr>
            <w:r>
              <w:rPr>
                <w:rFonts w:ascii="仿宋_GB2312" w:hAnsi="仿宋_GB2312" w:cs="仿宋_GB2312" w:eastAsia="仿宋_GB2312"/>
              </w:rPr>
              <w:t>供应商针对本项目编制完善的施工及苗木养护方案，内容包含但不限于：①具体施工内容、②施工次序、③施工方法（工艺）、④成品保护措施、⑤苗木养护。 评审标准：根据本项目编写且符合本项目实际需求的得15分；每缺少一项内容扣3分；单项内容中存在缺陷的，每有一处扣0.5分，单项最多扣3分，扣完为止。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tc>
      </w:tr>
      <w:tr>
        <w:tc>
          <w:tcPr>
            <w:tcW w:type="dxa" w:w="831"/>
            <w:vMerge/>
          </w:tcP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供应商针对本项目编制完善的工程质量技术组织措施，内容包含但不限于：①质量目标管理、②施工检验、③材料储存方案。 评审标准：根据本项目编写且符合本项目实际需求的得6分；每缺少一项内容扣2分；单项内容中存在缺陷的，每有一处扣0.5分，单项最多扣2分，扣完为止。（注：缺陷是指：内容不详细具体、条理不清晰、描述过于简单、与项目特点不匹配、凭空编造、出现常识性错误、不可能实现的夸大情形、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tc>
      </w:tr>
      <w:tr>
        <w:tc>
          <w:tcPr>
            <w:tcW w:type="dxa" w:w="831"/>
            <w:vMerge/>
          </w:tcPr>
          <w:p/>
        </w:tc>
        <w:tc>
          <w:tcPr>
            <w:tcW w:type="dxa" w:w="1661"/>
          </w:tcPr>
          <w:p>
            <w:pPr>
              <w:pStyle w:val="null3"/>
            </w:pPr>
            <w:r>
              <w:rPr>
                <w:rFonts w:ascii="仿宋_GB2312" w:hAnsi="仿宋_GB2312" w:cs="仿宋_GB2312" w:eastAsia="仿宋_GB2312"/>
              </w:rPr>
              <w:t>文明施工、环境保护及安全生产技术组织措施</w:t>
            </w:r>
          </w:p>
        </w:tc>
        <w:tc>
          <w:tcPr>
            <w:tcW w:type="dxa" w:w="2492"/>
          </w:tcPr>
          <w:p>
            <w:pPr>
              <w:pStyle w:val="null3"/>
            </w:pPr>
            <w:r>
              <w:rPr>
                <w:rFonts w:ascii="仿宋_GB2312" w:hAnsi="仿宋_GB2312" w:cs="仿宋_GB2312" w:eastAsia="仿宋_GB2312"/>
              </w:rPr>
              <w:t>供应商针对本项目编制完善相关措施，内容包含但不限于：①文明施工、②环保管控、③安全管理、④责任划分、⑤人员防护、⑥安全教育。 评审标准：根据本项目编写且符合本项目实际需求的得12分；每缺少一项内容扣2分；单项内容中存在缺陷的，每有一处扣0.5分，单项最多扣2分，扣完为止。 （注：缺陷是指：内容不详细具体、条理不清晰、描述过于简单、与项目特点不匹配、凭空编造、出现常识性错误、不可能实现的夸大情形、存在不适用项目实际情况的情形）。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供应商针对本项目编制完善的施工进度计划，内容包含但不限于：①施工进度安排； ②工期目标控制和保证措施； ③材料供应措施； ④特殊情况保证措施（夜间、雨季、高温等）。 评审标准：根据本项目编写且符合本项目实际需求的得8分；每缺少一项内容扣2分；单项内容中存在缺陷的，每有一处扣0.5分，单项最多扣2分，扣完为止。 （注：缺陷是指：内容不详细具体、条理不清晰、描述过于简单、与项目特点不匹配、凭空编造、出现常识性错误、不可能实现的夸大情形、存在不适用项目实际情况的情形）。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tc>
      </w:tr>
      <w:tr>
        <w:tc>
          <w:tcPr>
            <w:tcW w:type="dxa" w:w="831"/>
            <w:vMerge/>
          </w:tcPr>
          <w:p/>
        </w:tc>
        <w:tc>
          <w:tcPr>
            <w:tcW w:type="dxa" w:w="1661"/>
          </w:tcPr>
          <w:p>
            <w:pPr>
              <w:pStyle w:val="null3"/>
            </w:pPr>
            <w:r>
              <w:rPr>
                <w:rFonts w:ascii="仿宋_GB2312" w:hAnsi="仿宋_GB2312" w:cs="仿宋_GB2312" w:eastAsia="仿宋_GB2312"/>
              </w:rPr>
              <w:t>施工机械配置及材料投入计划</w:t>
            </w:r>
          </w:p>
        </w:tc>
        <w:tc>
          <w:tcPr>
            <w:tcW w:type="dxa" w:w="2492"/>
          </w:tcPr>
          <w:p>
            <w:pPr>
              <w:pStyle w:val="null3"/>
            </w:pPr>
            <w:r>
              <w:rPr>
                <w:rFonts w:ascii="仿宋_GB2312" w:hAnsi="仿宋_GB2312" w:cs="仿宋_GB2312" w:eastAsia="仿宋_GB2312"/>
              </w:rPr>
              <w:t>供应商针对本项目编制完善的施工机械配置及材料投入计划，内容包含但不限于：①施工机械设备（如挖树机、运输车、灌溉设备等）、②主要材料进场计划。 评审标准：根据本项目编写且符合本项目实际需求的得6分；每缺少一项内容扣3分；单项内容中存在缺陷的，每有一处扣0.5分，单项最多扣3分，扣完为止。 （注：缺陷是指：内容不详细具体、条理不清晰、描述过于简单、与项目特点不匹配、凭空编造、出现常识性错误、不可能实现的夸大情形、存在不适用项目实际情况的情形）。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供应商针对本项目编制完善的劳动力计划，内容包含但不限于：①劳动力投入计划，②劳动力保障措施。 评审标准：根据本项目编写且符合本项目实际需求的得6分；每缺少一项内容扣3分；单项内容中存在缺陷的，每有一处扣0.5分，单项最多扣3分，扣完为止。 （注：缺陷是指：内容不详细具体、条理不清晰、描述过于简单、与项目特点不匹配、凭空编造、出现常识性错误、不可能实现的夸大情形、存在不适用项目实际情况的情形）。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供应商针对本项目编制完善的项目组织机构，内容包含但不限于：①项目成员配置结构、②专业素质、③岗位职责。 评审标准：根据本项目编写且符合本项目实际需求的得9分；每缺少一项内容扣3分；单项内容中存在缺陷的，每有一处扣0.5分，单项最多扣3分，扣完为止。 （注：缺陷是指：内容不详细具体、条理不清晰、描述过于简单、与项目特点不匹配、凭空编造、出现常识性错误、不可能实现的夸大情形、存在不适用项目实际情况的情形）。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供应商自2023年01月01日至今承担过类似项目业绩。（以合同签订日期或中标通知书签署日期为准）；每提供一项业绩得1分，最高得2分。须提供合同或中标通知书复印件并加盖公章。不提供不得分。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磋商实施方案.docx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供应商针对本项目编制完善的承诺及建议，内容包含但不限于：①对磋商文件和合同条款的响应、②售后服务内容及质保承诺、③合理化建议（如降低工程造价、缩短施工周期等）。 评审标准：根据本项目编写且符合本项目实际需求的得6分；每缺少一项内容扣2分；单项内容中存在缺陷的，每有一处扣0.5分，单项最多扣2分，扣完为止。 （注：缺陷是指：内容不详细具体、条理不清晰、描述过于简单、与项目特点不匹配、凭空编造、出现常识性错误、不可能实现的夸大情形、存在不适用项目实际情况的情形）。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详见附件：资格证明文件格式.docx</w:t>
      </w:r>
    </w:p>
    <w:p>
      <w:pPr>
        <w:pStyle w:val="null3"/>
        <w:ind w:firstLine="960"/>
      </w:pPr>
      <w:r>
        <w:rPr>
          <w:rFonts w:ascii="仿宋_GB2312" w:hAnsi="仿宋_GB2312" w:cs="仿宋_GB2312" w:eastAsia="仿宋_GB2312"/>
        </w:rPr>
        <w:t>详见附件：磋商实施方案.docx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