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版本号：SXLZ-2026-11420260408001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三原县关中环线核心段更新改造规划、渠岸镇产业新城空间发展规划</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SXLZ-2026-114</w:t>
      </w:r>
      <w:r>
        <w:br/>
      </w:r>
      <w:r>
        <w:br/>
      </w:r>
      <w:r>
        <w:br/>
      </w:r>
    </w:p>
    <w:p>
      <w:pPr>
        <w:pStyle w:val="null3"/>
        <w:jc w:val="center"/>
        <w:outlineLvl w:val="2"/>
      </w:pPr>
      <w:r>
        <w:rPr>
          <w:rFonts w:ascii="仿宋_GB2312" w:hAnsi="仿宋_GB2312" w:cs="仿宋_GB2312" w:eastAsia="仿宋_GB2312"/>
          <w:sz w:val="28"/>
          <w:b/>
        </w:rPr>
        <w:t>三原县自然资源局</w:t>
      </w:r>
    </w:p>
    <w:p>
      <w:pPr>
        <w:pStyle w:val="null3"/>
        <w:jc w:val="center"/>
        <w:outlineLvl w:val="2"/>
      </w:pPr>
      <w:r>
        <w:rPr>
          <w:rFonts w:ascii="仿宋_GB2312" w:hAnsi="仿宋_GB2312" w:cs="仿宋_GB2312" w:eastAsia="仿宋_GB2312"/>
          <w:sz w:val="28"/>
          <w:b/>
        </w:rPr>
        <w:t>陕西龙泽项目咨询管理有限公司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三原县自然资源局</w:t>
      </w:r>
      <w:r>
        <w:rPr>
          <w:rFonts w:ascii="仿宋_GB2312" w:hAnsi="仿宋_GB2312" w:cs="仿宋_GB2312" w:eastAsia="仿宋_GB2312"/>
        </w:rPr>
        <w:t>委托，拟对</w:t>
      </w:r>
      <w:r>
        <w:rPr>
          <w:rFonts w:ascii="仿宋_GB2312" w:hAnsi="仿宋_GB2312" w:cs="仿宋_GB2312" w:eastAsia="仿宋_GB2312"/>
        </w:rPr>
        <w:t>三原县关中环线核心段更新改造规划、渠岸镇产业新城空间发展规划</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SXLZ-2026-114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三原县关中环线核心段更新改造规划、渠岸镇产业新城空间发展规划</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项目为《三原县关中环线核心段更新改造规划》、《渠岸镇产业新城空间发展规划》编制项目(以下简称《关中环线》、《渠岸镇产业新城》)，其中《关中环线》项目，范围为城关街道五四村至西阳镇正风村，总面积131.66公顷。《渠岸镇产业新城》项目，范围西至延西高速、东至渠岸镇驻地东侧、北至关中环线、南至汤官村北，面积2131.95公顷。</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采购包1（三原县关中环线核心段更新改造规划、渠岸镇产业新城空间发展规划）：属于专门面向中小企业采购。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2、资质要求：供应商须具备行政主管部门颁发的城乡规划（国土空间规划）编制单位乙级及以上资质</w:t>
      </w:r>
    </w:p>
    <w:p>
      <w:pPr>
        <w:pStyle w:val="null3"/>
      </w:pPr>
      <w:r>
        <w:rPr>
          <w:rFonts w:ascii="仿宋_GB2312" w:hAnsi="仿宋_GB2312" w:cs="仿宋_GB2312" w:eastAsia="仿宋_GB2312"/>
        </w:rPr>
        <w:t>3、项目负责人：拟派项目负责人须具有注册城乡规划师执业资格；且具有中级（含中级）及以上职称。</w:t>
      </w:r>
    </w:p>
    <w:p>
      <w:pPr>
        <w:pStyle w:val="null3"/>
      </w:pPr>
      <w:r>
        <w:rPr>
          <w:rFonts w:ascii="仿宋_GB2312" w:hAnsi="仿宋_GB2312" w:cs="仿宋_GB2312" w:eastAsia="仿宋_GB2312"/>
        </w:rPr>
        <w:t>4、财务状况报告：须提供经会计事务所或审计机构出具的 2024 年或 2025年度赋码财务审计报告；财务审计报告须有注册会计师签字盖章和公司盖章，并附通过注册会计师行业统一监管平台（http://acc.mof.gov.cn）报备并相应取得全国统一的验证码提供查询截图；成立时间至提交响应文件递交截止时间不足一年的，须提供其基本存款账户开户银行近三个月内出具的银行资信证明或自成立以来的财务报表；其他组织或自然人提供银行出具的资信证明或财务报表；</w:t>
      </w:r>
    </w:p>
    <w:p>
      <w:pPr>
        <w:pStyle w:val="null3"/>
      </w:pPr>
      <w:r>
        <w:rPr>
          <w:rFonts w:ascii="仿宋_GB2312" w:hAnsi="仿宋_GB2312" w:cs="仿宋_GB2312" w:eastAsia="仿宋_GB2312"/>
        </w:rPr>
        <w:t>5、税收缴纳证明：提供2025年6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6、社会保障资金缴纳证明：提供2025年6月至今已缴纳的至少一个月的社会保障资金缴存单据或社保机构开具的社会保险参保缴费情况证明，依法不需要缴纳社会保障资金的单位应提供相关证明材料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8、设备和专业技术能力：具有履行合同所必需的设备和专业技术能力的书面声明</w:t>
      </w:r>
    </w:p>
    <w:p>
      <w:pPr>
        <w:pStyle w:val="null3"/>
      </w:pPr>
      <w:r>
        <w:rPr>
          <w:rFonts w:ascii="仿宋_GB2312" w:hAnsi="仿宋_GB2312" w:cs="仿宋_GB2312" w:eastAsia="仿宋_GB2312"/>
        </w:rPr>
        <w:t>9、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pPr>
        <w:pStyle w:val="null3"/>
      </w:pPr>
      <w:r>
        <w:rPr>
          <w:rFonts w:ascii="仿宋_GB2312" w:hAnsi="仿宋_GB2312" w:cs="仿宋_GB2312" w:eastAsia="仿宋_GB2312"/>
        </w:rPr>
        <w:t>10、不接受联合体：本项目不接受联合体，供应商需在项目电子化交易系统中按要求上传相应证明文件并进行电子签章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三原县自然资源局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15191021491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17691099523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采购包1：1,005,800.00元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改委办公厅颁发的《关于招标代理服务费收费有关问题的通知》及《调整后的招标代理服务收费标准》(发改价格(2011))534号)规定标准收取。2.采购代理服务费由成交供应商支付，成交供应商领取成交通知书时，须一次性向采购代理机构交纳采购代理服务费3.采购代理服务费账户:公司名称:陕西龙泽项目咨询管理有限公司:账号:61050111583800000087;开户行:中国建设银行股份有限公司西安雁塔南路南段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三原县自然资源局</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中共中央办公厅国务院办公厅《关于持续推进城市更新行动的意见》(2025年)、《关于持续推进城市更新行动的若干措施》(陕建发(2025)125号)、《关于推进中心城区城市更新工作的实施意见(试行)的通知》(咸政发(2023)13号)。《中华人民共和国土地管理法》(1986年中华人民共和国主席令第41号，2019年8月修订);《中华人民共和国城乡规划法》(2007年中华人民共和国主席令第74号，2019年4月修订);《中华人民共和国土地管理法实施条例》(1998年国务院令第256号，2021年7月修订)等相关法律法规依据，保质保量按时提交规划设计图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联系人：胡荣</w:t>
      </w:r>
    </w:p>
    <w:p>
      <w:pPr>
        <w:pStyle w:val="null3"/>
      </w:pPr>
      <w:r>
        <w:rPr>
          <w:rFonts w:ascii="仿宋_GB2312" w:hAnsi="仿宋_GB2312" w:cs="仿宋_GB2312" w:eastAsia="仿宋_GB2312"/>
        </w:rPr>
        <w:t>联系电话：17691099523</w:t>
      </w:r>
    </w:p>
    <w:p>
      <w:pPr>
        <w:pStyle w:val="null3"/>
      </w:pPr>
      <w:r>
        <w:rPr>
          <w:rFonts w:ascii="仿宋_GB2312" w:hAnsi="仿宋_GB2312" w:cs="仿宋_GB2312" w:eastAsia="仿宋_GB2312"/>
        </w:rPr>
        <w:t>地址：陕西省西安市国家民用航天产业基地神舟五路与东长安街交汇处东南角航天城中心广场1号楼708</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项目为《三原县关中环线核心段更新改造规划》、《渠岸镇产业新城空间发展规划》编制项目(以下简称《关中环线》、《渠岸镇产业新城》)，其中《关中环线》项目，范围为城关街道五四村至西阳镇正风村，总面积131.66公顷。《渠岸镇产业新城》项目，范围西至延西高速、东至渠岸镇驻地东侧、北至关中环线、南至汤官村北，面积2131.95公顷。</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1,005,800.00</w:t>
      </w:r>
    </w:p>
    <w:p>
      <w:pPr>
        <w:pStyle w:val="null3"/>
      </w:pPr>
      <w:r>
        <w:rPr>
          <w:rFonts w:ascii="仿宋_GB2312" w:hAnsi="仿宋_GB2312" w:cs="仿宋_GB2312" w:eastAsia="仿宋_GB2312"/>
        </w:rPr>
        <w:t>采购包最高限价（元）: 1,005,800.00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三原县关中环线核心段更新改造规划渠岸镇产业新 城空间发展规划编制项目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1,005,800.00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标的名称：三原县关中环线核心段更新改造规划渠岸镇产业新 城空间发展规划编制项目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1 </w:t>
            </w:r>
            <w:r>
              <w:rPr>
                <w:rFonts w:ascii="仿宋_GB2312" w:hAnsi="仿宋_GB2312" w:cs="仿宋_GB2312" w:eastAsia="仿宋_GB2312"/>
              </w:rPr>
              <w:t>、项目名称： 三原县关中环线核心段更新改造规划、渠岸镇产业新城空间发展规划编制项目</w:t>
            </w:r>
          </w:p>
          <w:p>
            <w:pPr>
              <w:pStyle w:val="null3"/>
            </w:pPr>
            <w:r>
              <w:rPr>
                <w:rFonts w:ascii="仿宋_GB2312" w:hAnsi="仿宋_GB2312" w:cs="仿宋_GB2312" w:eastAsia="仿宋_GB2312"/>
              </w:rPr>
              <w:t>2</w:t>
            </w:r>
            <w:r>
              <w:rPr>
                <w:rFonts w:ascii="仿宋_GB2312" w:hAnsi="仿宋_GB2312" w:cs="仿宋_GB2312" w:eastAsia="仿宋_GB2312"/>
              </w:rPr>
              <w:t>、项目概况： 采购项目为《三原县关中环线核心段更新改造规划》、《渠岸镇产业新城空间发展规划》编制项目（以下简称《关中环线》、《渠岸镇产业新城》），其中《关中环线》项目，范围为城关街道五四村至西阳镇正风村，总面积</w:t>
            </w:r>
            <w:r>
              <w:rPr>
                <w:rFonts w:ascii="仿宋_GB2312" w:hAnsi="仿宋_GB2312" w:cs="仿宋_GB2312" w:eastAsia="仿宋_GB2312"/>
              </w:rPr>
              <w:t>131.66</w:t>
            </w:r>
            <w:r>
              <w:rPr>
                <w:rFonts w:ascii="仿宋_GB2312" w:hAnsi="仿宋_GB2312" w:cs="仿宋_GB2312" w:eastAsia="仿宋_GB2312"/>
              </w:rPr>
              <w:t>公顷。《渠岸镇产业新城》项目，范围西至延西高速、东至渠岸镇驻地东侧、北至关中环线、南至汤官村北，面积</w:t>
            </w:r>
            <w:r>
              <w:rPr>
                <w:rFonts w:ascii="仿宋_GB2312" w:hAnsi="仿宋_GB2312" w:cs="仿宋_GB2312" w:eastAsia="仿宋_GB2312"/>
              </w:rPr>
              <w:t>2131.95</w:t>
            </w:r>
            <w:r>
              <w:rPr>
                <w:rFonts w:ascii="仿宋_GB2312" w:hAnsi="仿宋_GB2312" w:cs="仿宋_GB2312" w:eastAsia="仿宋_GB2312"/>
              </w:rPr>
              <w:t>公顷（</w:t>
            </w:r>
            <w:r>
              <w:rPr>
                <w:rFonts w:ascii="仿宋_GB2312" w:hAnsi="仿宋_GB2312" w:cs="仿宋_GB2312" w:eastAsia="仿宋_GB2312"/>
              </w:rPr>
              <w:t>3.20</w:t>
            </w:r>
            <w:r>
              <w:rPr>
                <w:rFonts w:ascii="仿宋_GB2312" w:hAnsi="仿宋_GB2312" w:cs="仿宋_GB2312" w:eastAsia="仿宋_GB2312"/>
              </w:rPr>
              <w:t>万亩）。</w:t>
            </w:r>
          </w:p>
          <w:p>
            <w:pPr>
              <w:pStyle w:val="null3"/>
            </w:pPr>
            <w:r>
              <w:rPr>
                <w:rFonts w:ascii="仿宋_GB2312" w:hAnsi="仿宋_GB2312" w:cs="仿宋_GB2312" w:eastAsia="仿宋_GB2312"/>
              </w:rPr>
              <w:t xml:space="preserve">3 </w:t>
            </w:r>
            <w:r>
              <w:rPr>
                <w:rFonts w:ascii="仿宋_GB2312" w:hAnsi="仿宋_GB2312" w:cs="仿宋_GB2312" w:eastAsia="仿宋_GB2312"/>
              </w:rPr>
              <w:t>、质量标准：符合国家、省、市等相关政策，达到规划编制技术规范要求。</w:t>
            </w:r>
          </w:p>
          <w:p>
            <w:pPr>
              <w:pStyle w:val="null3"/>
            </w:pPr>
            <w:r>
              <w:rPr>
                <w:rFonts w:ascii="仿宋_GB2312" w:hAnsi="仿宋_GB2312" w:cs="仿宋_GB2312" w:eastAsia="仿宋_GB2312"/>
              </w:rPr>
              <w:t>4</w:t>
            </w:r>
            <w:r>
              <w:rPr>
                <w:rFonts w:ascii="仿宋_GB2312" w:hAnsi="仿宋_GB2312" w:cs="仿宋_GB2312" w:eastAsia="仿宋_GB2312"/>
              </w:rPr>
              <w:t>、交付要求：</w:t>
            </w:r>
          </w:p>
          <w:p>
            <w:pPr>
              <w:pStyle w:val="null3"/>
            </w:pPr>
            <w:r>
              <w:rPr>
                <w:rFonts w:ascii="仿宋_GB2312" w:hAnsi="仿宋_GB2312" w:cs="仿宋_GB2312" w:eastAsia="仿宋_GB2312"/>
              </w:rPr>
              <w:t>1</w:t>
            </w:r>
            <w:r>
              <w:rPr>
                <w:rFonts w:ascii="仿宋_GB2312" w:hAnsi="仿宋_GB2312" w:cs="仿宋_GB2312" w:eastAsia="仿宋_GB2312"/>
              </w:rPr>
              <w:t xml:space="preserve">）成果内容应包括：设计图册。成果需提供纸质版 </w:t>
            </w:r>
            <w:r>
              <w:rPr>
                <w:rFonts w:ascii="仿宋_GB2312" w:hAnsi="仿宋_GB2312" w:cs="仿宋_GB2312" w:eastAsia="仿宋_GB2312"/>
              </w:rPr>
              <w:t xml:space="preserve">( A3 </w:t>
            </w:r>
            <w:r>
              <w:rPr>
                <w:rFonts w:ascii="仿宋_GB2312" w:hAnsi="仿宋_GB2312" w:cs="仿宋_GB2312" w:eastAsia="仿宋_GB2312"/>
              </w:rPr>
              <w:t xml:space="preserve">幅面装订，附图可折叠为 </w:t>
            </w:r>
            <w:r>
              <w:rPr>
                <w:rFonts w:ascii="仿宋_GB2312" w:hAnsi="仿宋_GB2312" w:cs="仿宋_GB2312" w:eastAsia="仿宋_GB2312"/>
              </w:rPr>
              <w:t xml:space="preserve">A3 </w:t>
            </w:r>
            <w:r>
              <w:rPr>
                <w:rFonts w:ascii="仿宋_GB2312" w:hAnsi="仿宋_GB2312" w:cs="仿宋_GB2312" w:eastAsia="仿宋_GB2312"/>
              </w:rPr>
              <w:t xml:space="preserve">幅面）与电子版，文本、表格采用 </w:t>
            </w:r>
            <w:r>
              <w:rPr>
                <w:rFonts w:ascii="仿宋_GB2312" w:hAnsi="仿宋_GB2312" w:cs="仿宋_GB2312" w:eastAsia="仿宋_GB2312"/>
              </w:rPr>
              <w:t xml:space="preserve">doc/wp s/pdf </w:t>
            </w:r>
            <w:r>
              <w:rPr>
                <w:rFonts w:ascii="仿宋_GB2312" w:hAnsi="仿宋_GB2312" w:cs="仿宋_GB2312" w:eastAsia="仿宋_GB2312"/>
              </w:rPr>
              <w:t xml:space="preserve">格式，图集采用 </w:t>
            </w:r>
            <w:r>
              <w:rPr>
                <w:rFonts w:ascii="仿宋_GB2312" w:hAnsi="仿宋_GB2312" w:cs="仿宋_GB2312" w:eastAsia="仿宋_GB2312"/>
              </w:rPr>
              <w:t xml:space="preserve">pdf/jpg </w:t>
            </w:r>
            <w:r>
              <w:rPr>
                <w:rFonts w:ascii="仿宋_GB2312" w:hAnsi="仿宋_GB2312" w:cs="仿宋_GB2312" w:eastAsia="仿宋_GB2312"/>
              </w:rPr>
              <w:t>格式，且各部分需附详细目录。</w:t>
            </w:r>
          </w:p>
          <w:p>
            <w:pPr>
              <w:pStyle w:val="null3"/>
            </w:pPr>
            <w:r>
              <w:rPr>
                <w:rFonts w:ascii="仿宋_GB2312" w:hAnsi="仿宋_GB2312" w:cs="仿宋_GB2312" w:eastAsia="仿宋_GB2312"/>
              </w:rPr>
              <w:t>2</w:t>
            </w:r>
            <w:r>
              <w:rPr>
                <w:rFonts w:ascii="仿宋_GB2312" w:hAnsi="仿宋_GB2312" w:cs="仿宋_GB2312" w:eastAsia="仿宋_GB2312"/>
              </w:rPr>
              <w:t>）成果验收要求：成果需符合《陕西省城市更新规划编制导则（试行）》《住房和城乡建设部关于城市更新工作的指导意见》等国家及地方政策、标准，同时满足三原县自然资源局后续项目申报、资金申请（如专项债  中央资金）的相关要求。成果须经专家评审，完成成果验收。</w:t>
            </w:r>
          </w:p>
          <w:p>
            <w:pPr>
              <w:pStyle w:val="null3"/>
            </w:pPr>
            <w:r>
              <w:rPr>
                <w:rFonts w:ascii="仿宋_GB2312" w:hAnsi="仿宋_GB2312" w:cs="仿宋_GB2312" w:eastAsia="仿宋_GB2312"/>
                <w:sz w:val="21"/>
              </w:rPr>
              <w:t>5</w:t>
            </w:r>
            <w:r>
              <w:rPr>
                <w:rFonts w:ascii="仿宋_GB2312" w:hAnsi="仿宋_GB2312" w:cs="仿宋_GB2312" w:eastAsia="仿宋_GB2312"/>
                <w:sz w:val="21"/>
              </w:rPr>
              <w:t>、服务期：合同签订之日起</w:t>
            </w:r>
            <w:r>
              <w:rPr>
                <w:rFonts w:ascii="仿宋_GB2312" w:hAnsi="仿宋_GB2312" w:cs="仿宋_GB2312" w:eastAsia="仿宋_GB2312"/>
                <w:sz w:val="21"/>
              </w:rPr>
              <w:t>60</w:t>
            </w:r>
            <w:r>
              <w:rPr>
                <w:rFonts w:ascii="仿宋_GB2312" w:hAnsi="仿宋_GB2312" w:cs="仿宋_GB2312" w:eastAsia="仿宋_GB2312"/>
                <w:sz w:val="21"/>
              </w:rPr>
              <w:t>日历天。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根据项目需求自行配备。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根据项目需求自行配备。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质量要求符合国家、行业的标准和有关规定。成交供应商按采购人要求将全部服务工作内容完成后，采购人组织审议，通过并修改完善形成最终成果。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合同生效后方案首次汇报完成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乙方完成初步成果后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所有成果完成经审核通过并提交甲方10日内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协议签订后，任何一方无权终止合同，否则按总费用的10%追究违约责任。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活动执行下列政府采购政策：（1）《财政部国家发展改革委关于印发〈节能产品政府采购实施意见〉的通知》（财库〔2004〕185号）；（2）《国务院办公厅关于建立政府强制采购节能产品制度的通知》（国办发〔2007〕51号）；（3）《财政部环保总局关于环境标志产品政府采购实施的意见》（财库〔2006〕90号）；（4）《财政部司法部关于政府采购支持监狱企业发展有关问题的通知》（财库〔2014〕68号）；（5）《财政部、民政部、中国残疾人联合会关于促进残疾人就业政府采购政策的通知》（财库〔2017〕141号）；（6）《财政部发展改革委生态环境部市场监管总局关于调整优化节能产品、环境标志产品政府采购执行机制的通知》（财库〔2019〕9号）；（7）《关于运用政府采购政策支持乡村产业振兴的通知》（财库〔2021〕19号）；（8）《政府采购促进中小企业发展管理办法》（财库〔2020〕46号）；（9）《陕西省财政厅关于印发&lt;陕西省中小企业政府采购信用融资办法&gt;的通知》（陕财办采〔2018〕23号；（10）陕西省财政厅《关于进一步加强政府绿色采购有关问题的通知》（陕财办采〔2021〕29号）；（11）《关于进一步加大政府采购支持中小企业力度的通知》（财库〔2022〕19号；（12）《关于扩大政府采购支持绿色建材促进建筑品质提升政策实施范围的通知》财库〔2022〕35号；（13）其他需执行的政府采购政策；2.本项目为专门面向中小企业；3.本项目所属行业为建筑业；4.本项目实际采购人为三原县国土空间规划事务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供应商须具备行政主管部门颁发的城乡规划（国土空间规划）编制单位乙级及以上资质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拟派项目负责人须具有注册城乡规划师执业资格；且具有中级（含中级）及以上职称。</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须提供经会计事务所或审计机构出具的 2024 年或 2025年度赋码财务审计报告；财务审计报告须有注册会计师签字盖章和公司盖章，并附通过注册会计师行业统一监管平台（http://acc.mof.gov.cn）报备并相应取得全国统一的验证码提供查询截图；成立时间至提交响应文件递交截止时间不足一年的，须提供其基本存款账户开户银行近三个月内出具的银行资信证明或自成立以来的财务报表；其他组织或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设备和专业技术能力</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tc>
        <w:tc>
          <w:tcPr>
            <w:tcW w:type="dxa" w:w="1661"/>
          </w:tcPr>
          <w:p>
            <w:pPr>
              <w:pStyle w:val="null3"/>
            </w:pPr>
            <w:r>
              <w:rPr>
                <w:rFonts w:ascii="仿宋_GB2312" w:hAnsi="仿宋_GB2312" w:cs="仿宋_GB2312" w:eastAsia="仿宋_GB2312"/>
              </w:rPr>
              <w:t>法定代表人身份证明及授权委托书.docx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磋商响应文件中项目名称、项目编号与本项目一致；磋商响应文件至少包括：（1）响应函、（2）响应报价表、（3）供应商资格证明、（4）采购需求偏离表。</w:t>
            </w:r>
          </w:p>
        </w:tc>
        <w:tc>
          <w:tcPr>
            <w:tcW w:type="dxa" w:w="1661"/>
          </w:tcPr>
          <w:p>
            <w:pPr>
              <w:pStyle w:val="null3"/>
            </w:pPr>
            <w:r>
              <w:rPr>
                <w:rFonts w:ascii="仿宋_GB2312" w:hAnsi="仿宋_GB2312" w:cs="仿宋_GB2312" w:eastAsia="仿宋_GB2312"/>
              </w:rPr>
              <w:t>响应文件封面 商务应答表 采购需求偏离表.docx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本项目设计目标、规模、内容理解透彻，能对采购人的需求提供详细的整体设计方案,理念新颖、思路清晰、服务方案完整、项目理解到位、分析准确，掌握项目各项工作要求，任务分析全面完善，得15分；项目理解较为准确，了解项目相关情况，较好掌握项目各项工作要求，任务分析比较全面，得12分；项目理解基本准确，了解项目相关情况，掌握项目各项工作要求，任务分析基本全面，得9分；项目理解有欠缺，相关情况了解有欠缺，掌握项目基础工作要求，任务分析片面，得6分；项目理解不准确，任务分析有欠缺，得3分；其他或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对项目重难点、关键性技术问题的认识及其对策措施：对项目重难点、关键性技术问题的把握准确、分析到位，所提供的对策措施完善，有较强的针对性，得10分；对项目重难点、关键性技术问题的把握基本准确、分析简单，所提供的对策措施合理，有一定的针对性，得7分；对项目重难点、关键性技术问题的把握有偏差、分析欠缺，所提供的对策措施简单普遍，对本项目没有针对性，得4分；方案只有框架，得1分；其他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设计思路及方案</w:t>
            </w:r>
          </w:p>
        </w:tc>
        <w:tc>
          <w:tcPr>
            <w:tcW w:type="dxa" w:w="2492"/>
          </w:tcPr>
          <w:p>
            <w:pPr>
              <w:pStyle w:val="null3"/>
            </w:pPr>
            <w:r>
              <w:rPr>
                <w:rFonts w:ascii="仿宋_GB2312" w:hAnsi="仿宋_GB2312" w:cs="仿宋_GB2312" w:eastAsia="仿宋_GB2312"/>
              </w:rPr>
              <w:t>总体规划编制设计思路合理、严谨、清晰，设计方案完整，描述详尽，针对性、可行性强，得15分；总体规划编制设计思路较合理、清晰，设计方案较完整，描述清晰，针对性、可行性一般，得12分；总体规划编制设计思路基本明确、合理，设计方案普遍通用，描述简单，针对性、可行性一般，得9分；总体规划编制设计思路需进一步梳理，总体规划编制设计方案不完整，描述模糊，针对性、可行性欠缺，得6分；方案只有框架，得3分；其他或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项目负责人具备相关专业高级职称的的得2分，缺项或专业不符不得分。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针对本项目供应商提供的人员组织架构完整，岗位设置合理、明确，技术人员专业性、经验性强，且对本项目有针对性，得13分；人员组织架构有待优化，技术人员岗位设置基本合理，人员专业性、经验性一般，得10分；人员组织架构不完整，人员岗位设置紧张，技术人员专业性、经验性欠缺，得7分；方案只有框架，得4分；其他或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进度计划及质量保障措施</w:t>
            </w:r>
          </w:p>
        </w:tc>
        <w:tc>
          <w:tcPr>
            <w:tcW w:type="dxa" w:w="2492"/>
          </w:tcPr>
          <w:p>
            <w:pPr>
              <w:pStyle w:val="null3"/>
            </w:pPr>
            <w:r>
              <w:rPr>
                <w:rFonts w:ascii="仿宋_GB2312" w:hAnsi="仿宋_GB2312" w:cs="仿宋_GB2312" w:eastAsia="仿宋_GB2312"/>
              </w:rPr>
              <w:t>根据设计工作进度计划安排的合理性、与本项目实际情况的符合性，进度保证措施的可靠性、可实施性进行评分：进度安排合理可行，进度保证措施详细、工作节点清晰，得15分；进度安排较合理可行，进度保证措施较详细、工作节点较清晰，得12分；进度安排基本合理，进度保证措施不明确，需进一步协调，得9分；进度安排不合理，进度保证措施简单，得6分；措施只有框架，得3分；其他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须针对本项目及采购人实际需求提供详细具体可行的服务措施承诺，有详细的服务承诺书，能提供相关的实施措施，能及时响应和积极配合采购人的有关要求。详尽，针对性、可行性强得10分；基本合理，针对性、可行性一般得7分；内容基本合理针对性、可行性一般，得4分；针对性、可行性欠缺，得1分；其他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具有近三年（2023年1月）类似项目业绩，每提供1个得2分，最高得10分。（以合同签订日期及合同复印件加盖供应商公章为准）。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响应文件，其响应报价为有效响应报价；满足磋商文件要求且提交价格最低的响应报价为评标基准价，其价格分为满分。响应报价得分=（评标基准价／响应报价）×10本项目为专门面向中小企业，故不进行价格折扣；</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详见附件：服务方案说明.docx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详见附件：采购需求偏离表.docx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