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EF1F5">
      <w:pPr>
        <w:tabs>
          <w:tab w:val="left" w:pos="4718"/>
        </w:tabs>
        <w:jc w:val="center"/>
        <w:rPr>
          <w:rFonts w:hint="eastAsia" w:ascii="楷体_GB2312" w:eastAsia="楷体_GB2312"/>
          <w:b/>
          <w:spacing w:val="40"/>
          <w:sz w:val="28"/>
          <w:szCs w:val="28"/>
        </w:rPr>
      </w:pPr>
      <w:r>
        <w:rPr>
          <w:rFonts w:hint="eastAsia" w:ascii="楷体_GB2312" w:eastAsia="楷体_GB2312"/>
          <w:b/>
          <w:spacing w:val="40"/>
          <w:sz w:val="28"/>
          <w:szCs w:val="28"/>
        </w:rPr>
        <w:t>（本格式条款供采购人和成交人双方签订合同参考，最终以采购人提供的合同为准）</w:t>
      </w:r>
    </w:p>
    <w:p w14:paraId="72FEADBF">
      <w:pPr>
        <w:tabs>
          <w:tab w:val="left" w:pos="4718"/>
        </w:tabs>
        <w:rPr>
          <w:rFonts w:hint="eastAsia" w:ascii="黑体" w:eastAsia="黑体"/>
          <w:sz w:val="28"/>
          <w:szCs w:val="28"/>
        </w:rPr>
      </w:pPr>
      <w:r>
        <w:rPr>
          <w:rFonts w:hint="eastAsia"/>
          <w:sz w:val="28"/>
          <w:szCs w:val="28"/>
        </w:rPr>
        <w:t>编号：</w:t>
      </w:r>
      <w:bookmarkStart w:id="0" w:name="_GoBack"/>
      <w:bookmarkEnd w:id="0"/>
    </w:p>
    <w:p w14:paraId="023182FB">
      <w:pPr>
        <w:tabs>
          <w:tab w:val="left" w:pos="4718"/>
        </w:tabs>
        <w:jc w:val="center"/>
        <w:rPr>
          <w:rFonts w:hint="eastAsia" w:ascii="楷体_GB2312" w:eastAsia="楷体_GB2312"/>
          <w:b/>
          <w:spacing w:val="40"/>
          <w:sz w:val="52"/>
          <w:szCs w:val="52"/>
        </w:rPr>
      </w:pPr>
    </w:p>
    <w:p w14:paraId="26588663">
      <w:pPr>
        <w:tabs>
          <w:tab w:val="left" w:pos="4718"/>
        </w:tabs>
        <w:jc w:val="center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项 目 合 同 书</w:t>
      </w:r>
    </w:p>
    <w:p w14:paraId="7ED7FFD4">
      <w:pPr>
        <w:tabs>
          <w:tab w:val="left" w:pos="4718"/>
        </w:tabs>
        <w:jc w:val="center"/>
        <w:rPr>
          <w:rFonts w:hint="eastAsia" w:ascii="黑体" w:eastAsia="黑体"/>
          <w:b/>
          <w:sz w:val="90"/>
          <w:szCs w:val="90"/>
        </w:rPr>
      </w:pPr>
    </w:p>
    <w:p w14:paraId="1E5CE858">
      <w:pPr>
        <w:tabs>
          <w:tab w:val="left" w:pos="4718"/>
        </w:tabs>
        <w:rPr>
          <w:rFonts w:hint="eastAsia"/>
          <w:b/>
          <w:sz w:val="44"/>
          <w:szCs w:val="44"/>
        </w:rPr>
      </w:pPr>
    </w:p>
    <w:p w14:paraId="7AB95DDF">
      <w:pPr>
        <w:tabs>
          <w:tab w:val="left" w:pos="4718"/>
        </w:tabs>
        <w:rPr>
          <w:rFonts w:hint="eastAsia"/>
          <w:sz w:val="32"/>
          <w:szCs w:val="32"/>
        </w:rPr>
      </w:pPr>
    </w:p>
    <w:p w14:paraId="36C11A7A">
      <w:pPr>
        <w:tabs>
          <w:tab w:val="left" w:pos="4718"/>
        </w:tabs>
        <w:rPr>
          <w:rFonts w:hint="eastAsia"/>
          <w:sz w:val="32"/>
          <w:szCs w:val="32"/>
        </w:rPr>
      </w:pPr>
    </w:p>
    <w:p w14:paraId="23AC1351">
      <w:pPr>
        <w:tabs>
          <w:tab w:val="left" w:pos="4718"/>
        </w:tabs>
        <w:rPr>
          <w:rFonts w:hint="eastAsia"/>
          <w:sz w:val="32"/>
          <w:szCs w:val="32"/>
        </w:rPr>
      </w:pPr>
    </w:p>
    <w:p w14:paraId="60CB201A">
      <w:pPr>
        <w:tabs>
          <w:tab w:val="left" w:pos="4718"/>
        </w:tabs>
        <w:rPr>
          <w:rFonts w:hint="eastAsia"/>
          <w:sz w:val="32"/>
          <w:szCs w:val="32"/>
        </w:rPr>
      </w:pPr>
    </w:p>
    <w:p w14:paraId="0158F956">
      <w:pPr>
        <w:tabs>
          <w:tab w:val="left" w:pos="4718"/>
        </w:tabs>
        <w:rPr>
          <w:rFonts w:hint="eastAsia"/>
          <w:b/>
          <w:sz w:val="30"/>
          <w:szCs w:val="30"/>
        </w:rPr>
      </w:pPr>
    </w:p>
    <w:p w14:paraId="06758BE3">
      <w:pPr>
        <w:widowControl/>
        <w:shd w:val="clear" w:color="auto" w:fill="FFFFFF"/>
        <w:spacing w:before="100" w:beforeAutospacing="1" w:after="100" w:afterAutospacing="1" w:line="360" w:lineRule="atLeast"/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</w:p>
    <w:p w14:paraId="2F749E77">
      <w:pPr>
        <w:widowControl/>
        <w:shd w:val="clear" w:color="auto" w:fill="FFFFFF"/>
        <w:spacing w:before="100" w:beforeAutospacing="1" w:after="100" w:afterAutospacing="1" w:line="360" w:lineRule="atLeast"/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委托方（甲方）：</w:t>
      </w:r>
    </w:p>
    <w:p w14:paraId="0944DF9B">
      <w:pPr>
        <w:widowControl/>
        <w:shd w:val="clear" w:color="auto" w:fill="FFFFFF"/>
        <w:spacing w:before="100" w:beforeAutospacing="1" w:after="100" w:afterAutospacing="1" w:line="360" w:lineRule="atLeast"/>
        <w:ind w:firstLine="640" w:firstLineChars="200"/>
        <w:jc w:val="left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承接方（乙方）：</w:t>
      </w:r>
    </w:p>
    <w:p w14:paraId="552E7950">
      <w:pPr>
        <w:widowControl/>
        <w:shd w:val="clear" w:color="auto" w:fill="FFFFFF"/>
        <w:spacing w:before="100" w:beforeAutospacing="1" w:after="100" w:afterAutospacing="1" w:line="360" w:lineRule="atLeast"/>
        <w:ind w:firstLine="640" w:firstLineChars="200"/>
        <w:jc w:val="left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签订地点：</w:t>
      </w:r>
    </w:p>
    <w:p w14:paraId="75E0F3B6">
      <w:pPr>
        <w:widowControl/>
        <w:shd w:val="clear" w:color="auto" w:fill="FFFFFF"/>
        <w:spacing w:before="100" w:beforeAutospacing="1" w:after="100" w:afterAutospacing="1" w:line="360" w:lineRule="atLeast"/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日  期：</w:t>
      </w:r>
    </w:p>
    <w:p w14:paraId="61F81412">
      <w:pPr>
        <w:widowControl/>
        <w:shd w:val="clear" w:color="auto" w:fill="FFFFFF"/>
        <w:spacing w:before="100" w:beforeAutospacing="1" w:after="100" w:afterAutospacing="1" w:line="360" w:lineRule="atLeast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>甲方委托乙方承担</w:t>
      </w:r>
      <w:r>
        <w:rPr>
          <w:rFonts w:hint="eastAsia"/>
          <w:sz w:val="28"/>
          <w:szCs w:val="28"/>
        </w:rPr>
        <w:t>规划</w:t>
      </w:r>
      <w:r>
        <w:rPr>
          <w:sz w:val="28"/>
          <w:szCs w:val="28"/>
        </w:rPr>
        <w:t>设计任务。根据《中华人民共和国</w:t>
      </w:r>
      <w:r>
        <w:rPr>
          <w:rFonts w:hint="eastAsia"/>
          <w:sz w:val="28"/>
          <w:szCs w:val="28"/>
          <w:lang w:val="en-US" w:eastAsia="zh-CN"/>
        </w:rPr>
        <w:t>民</w:t>
      </w:r>
      <w:r>
        <w:rPr>
          <w:rFonts w:hint="eastAsia"/>
          <w:color w:val="auto"/>
          <w:sz w:val="28"/>
          <w:szCs w:val="28"/>
          <w:lang w:val="en-US" w:eastAsia="zh-CN"/>
        </w:rPr>
        <w:t>法典</w:t>
      </w:r>
      <w:r>
        <w:rPr>
          <w:color w:val="auto"/>
          <w:sz w:val="28"/>
          <w:szCs w:val="28"/>
        </w:rPr>
        <w:t>》、</w:t>
      </w:r>
      <w:r>
        <w:rPr>
          <w:rFonts w:hint="eastAsia"/>
          <w:sz w:val="28"/>
          <w:szCs w:val="28"/>
        </w:rPr>
        <w:t>《中华人民共和国城乡规划法》、《城市规划编制办法》，以及其他相关法律、法规，经双方协商一致，签订本合同。</w:t>
      </w:r>
    </w:p>
    <w:p w14:paraId="781AF888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一、项目规模：</w:t>
      </w:r>
    </w:p>
    <w:p w14:paraId="7B1D5A67">
      <w:pPr>
        <w:ind w:right="720" w:firstLine="560" w:firstLineChars="200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0"/>
        </w:rPr>
        <w:t>本次采购项目为《三原县关中环线核心段更新改造规划》、《渠岸镇产业新城空间发展规划》编制项目(以下简称《关中环线》、《渠岸镇产业新城》)，其中《关中环线》项目，范围为城关街道五四村至西阳镇正风村，总面积131.66公顷。《渠岸镇产业新城》项目，范围西至延西高速、东至渠岸镇驻地东侧、北至关中环线、南至汤官村北，面积2131.95公顷</w:t>
      </w:r>
      <w:r>
        <w:rPr>
          <w:rFonts w:hint="eastAsia" w:ascii="宋体" w:hAnsi="宋体"/>
          <w:b w:val="0"/>
          <w:bCs/>
          <w:sz w:val="28"/>
          <w:szCs w:val="20"/>
          <w:lang w:eastAsia="zh-CN"/>
        </w:rPr>
        <w:t>。</w:t>
      </w:r>
    </w:p>
    <w:p w14:paraId="382C932D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二、项目计划进度：</w:t>
      </w:r>
    </w:p>
    <w:p w14:paraId="7A18E93B">
      <w:pPr>
        <w:ind w:left="401" w:leftChars="191"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合同签订后开始工作，工作周期预计约____</w:t>
      </w:r>
      <w:r>
        <w:rPr>
          <w:rFonts w:hint="eastAsia"/>
          <w:sz w:val="28"/>
          <w:szCs w:val="28"/>
          <w:lang w:val="en-US" w:eastAsia="zh-CN"/>
        </w:rPr>
        <w:t>日历天</w:t>
      </w:r>
      <w:r>
        <w:rPr>
          <w:rFonts w:hint="eastAsia"/>
          <w:sz w:val="28"/>
          <w:szCs w:val="28"/>
        </w:rPr>
        <w:t>，共划分为四个阶段。</w:t>
      </w:r>
    </w:p>
    <w:p w14:paraId="7ADF4E0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1、现场踏勘、访谈调研阶段（收集资料、整理分析）约____天；</w:t>
      </w:r>
    </w:p>
    <w:p w14:paraId="07DC418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2、初步成果阶段（规划研究、设计初步方案）约____天；</w:t>
      </w:r>
    </w:p>
    <w:p w14:paraId="6F97141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3、深化成果阶段(调整深化、编制送审成果) 约____天；</w:t>
      </w:r>
    </w:p>
    <w:p w14:paraId="4D29FDB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4、最终成果阶段（成果完善、提交甲方）约____天。</w:t>
      </w:r>
    </w:p>
    <w:p w14:paraId="03DE220F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三、甲方承担的主要工作内容及责任</w:t>
      </w:r>
    </w:p>
    <w:p w14:paraId="0545FFC9">
      <w:pPr>
        <w:ind w:left="1079" w:leftChars="267" w:right="720" w:hanging="518" w:hangingChars="18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1、提供工作所需相关资料及文件（根据乙方提供的资料提纲）；</w:t>
      </w:r>
    </w:p>
    <w:p w14:paraId="2FDFD517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2、按照合同要求按时支付规划设计费用；</w:t>
      </w:r>
    </w:p>
    <w:p w14:paraId="46902F18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3、按照合同进度要求组织方案讨论和评审，形成书面意见；</w:t>
      </w:r>
    </w:p>
    <w:p w14:paraId="6C247196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4、需变更工作内容及进度，应及时通知乙方，并承担相关费用；</w:t>
      </w:r>
    </w:p>
    <w:p w14:paraId="1BFDD8AD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5、需增加规划成果套数，应及时通知乙方，并承担相关费用；</w:t>
      </w:r>
    </w:p>
    <w:p w14:paraId="469A3E76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6、为乙方在现场工作提供方便。</w:t>
      </w:r>
    </w:p>
    <w:p w14:paraId="1D651689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四、乙方承担的主要工作内容及责任</w:t>
      </w:r>
    </w:p>
    <w:p w14:paraId="70B8E861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1、向甲方书面提出所需的相关技术基础资料提纲；</w:t>
      </w:r>
    </w:p>
    <w:p w14:paraId="681EF430">
      <w:pPr>
        <w:ind w:right="7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2、收到甲方预付款后，安排规划设计工作（规划设计时间开始计算）；</w:t>
      </w:r>
    </w:p>
    <w:p w14:paraId="67BF6E2D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3、按照合同的要求汇报各阶段规划设计方案；</w:t>
      </w:r>
    </w:p>
    <w:p w14:paraId="0F4129F8">
      <w:pPr>
        <w:ind w:right="70" w:firstLine="544" w:firstLineChars="200"/>
        <w:rPr>
          <w:rFonts w:hint="eastAsia"/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4、按照国家有关规定及合同要求，保质保量按时完成规划设计任务，提交如下规划设计成果：彩色成果图一套，说明书等文字材料及彩色图集六套，电子版文件两套；</w:t>
      </w:r>
    </w:p>
    <w:p w14:paraId="48A7881E">
      <w:pPr>
        <w:ind w:right="72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5、若甲方不能按时支付设计费用，乙方即停止规划设计工作；</w:t>
      </w:r>
    </w:p>
    <w:p w14:paraId="0FFCBA53">
      <w:pPr>
        <w:ind w:right="7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6、若甲方新增工作内容，乙方则相应提出增加费用，并顺延提交规划设计成果时间。  </w:t>
      </w:r>
    </w:p>
    <w:p w14:paraId="21DC0B58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五、规划设计费</w:t>
      </w:r>
    </w:p>
    <w:p w14:paraId="1CD2A1D8">
      <w:pPr>
        <w:ind w:right="70"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本项目按照国家相关规定，经甲、乙双方友好协商，收取规划设计费总计人民币____元（小写：￥____元）。</w:t>
      </w:r>
    </w:p>
    <w:p w14:paraId="510C6A84">
      <w:pPr>
        <w:tabs>
          <w:tab w:val="left" w:pos="9000"/>
        </w:tabs>
        <w:ind w:right="70" w:firstLine="570"/>
        <w:rPr>
          <w:rFonts w:hint="eastAsia" w:ascii="黑体" w:eastAsia="黑体"/>
          <w:b/>
          <w:sz w:val="28"/>
          <w:szCs w:val="28"/>
        </w:rPr>
      </w:pPr>
      <w:r>
        <w:rPr>
          <w:rFonts w:hint="eastAsia"/>
          <w:sz w:val="28"/>
          <w:szCs w:val="28"/>
        </w:rPr>
        <w:t>1、合同生效后方案首次汇报完成，甲方预付规划设计项目总费用的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0%，即人民币__________万元（小写：￥________元）；</w:t>
      </w:r>
    </w:p>
    <w:p w14:paraId="061C7EE6">
      <w:pPr>
        <w:ind w:right="70"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2、乙方完成初步成果后，甲方再支付规划设计项目总费用的40%，即人民币__________万元（小写：￥________元）；</w:t>
      </w:r>
    </w:p>
    <w:p w14:paraId="24AFFE72">
      <w:pPr>
        <w:ind w:right="70"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3、所有成果完成经审核通过，甲方结清剩余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0%规划设计费用，乙方即提交全部规划设计成果。</w:t>
      </w:r>
    </w:p>
    <w:p w14:paraId="08906EA1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六、知识产权权属</w:t>
      </w:r>
    </w:p>
    <w:p w14:paraId="489AB2F0">
      <w:pPr>
        <w:ind w:right="70"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本合同项下所有规划成果的知识产权归甲、乙双方所有。未经双方书面同意，双方不得向任何第三方披露，不得自行或授权第三方使用本合同项下的所有规划成果，否则应承担法律责任。</w:t>
      </w:r>
    </w:p>
    <w:p w14:paraId="58607680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七、保密条款</w:t>
      </w:r>
    </w:p>
    <w:p w14:paraId="3C08EA3A">
      <w:pPr>
        <w:ind w:right="70"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1、甲、乙双方须严格做好成果的保密工作，未经双方同意，不得将中间成果和最终成果向第三方扩散。</w:t>
      </w:r>
    </w:p>
    <w:p w14:paraId="290424AA">
      <w:pPr>
        <w:ind w:right="70"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2、甲、乙双方应妥善保管对方提供的资料，保守对方的各项秘密。未经对方许可，不得利用知悉的对方资料为自己或第三方谋取利益。</w:t>
      </w:r>
    </w:p>
    <w:p w14:paraId="58BFA225">
      <w:pPr>
        <w:ind w:left="1400" w:hanging="1400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八、违约责任</w:t>
      </w:r>
    </w:p>
    <w:p w14:paraId="781E1CF6">
      <w:pPr>
        <w:ind w:left="-38" w:leftChars="-18" w:right="70" w:firstLine="565" w:firstLineChars="2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甲方不履行本合同时，已交付款项乙方有权不予退还；乙方不履行合同时，甲方有权要求乙方退还未完成的工作相对应的已付款项。</w:t>
      </w:r>
    </w:p>
    <w:p w14:paraId="5573EFF4">
      <w:pPr>
        <w:ind w:left="-1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九、免责因素</w:t>
      </w:r>
    </w:p>
    <w:p w14:paraId="582FB0EA">
      <w:pPr>
        <w:ind w:left="-1" w:firstLine="560" w:firstLineChars="200"/>
        <w:rPr>
          <w:rFonts w:hint="eastAsia"/>
          <w:color w:val="auto"/>
          <w:sz w:val="28"/>
          <w:szCs w:val="28"/>
        </w:rPr>
      </w:pPr>
      <w:r>
        <w:rPr>
          <w:rFonts w:hint="eastAsia"/>
          <w:sz w:val="28"/>
          <w:szCs w:val="28"/>
        </w:rPr>
        <w:t>由于不可抗力因素致使合同无法履行时，双方应协商解决。不可抗力因素包括因地震、战争、动乱等或其他非甲、乙双方责任造成的灾害及其</w:t>
      </w:r>
      <w:r>
        <w:rPr>
          <w:rFonts w:hint="eastAsia"/>
          <w:color w:val="auto"/>
          <w:sz w:val="28"/>
          <w:szCs w:val="28"/>
        </w:rPr>
        <w:t>他不能预见、不能避免并不能克服的客观原因。</w:t>
      </w:r>
    </w:p>
    <w:p w14:paraId="380ED5F3">
      <w:pPr>
        <w:numPr>
          <w:ilvl w:val="0"/>
          <w:numId w:val="1"/>
        </w:numPr>
        <w:ind w:left="-2" w:leftChars="-1" w:firstLine="2"/>
        <w:rPr>
          <w:rFonts w:hint="eastAsia" w:ascii="宋体" w:hAnsi="宋体"/>
          <w:b/>
          <w:color w:val="auto"/>
          <w:sz w:val="28"/>
          <w:szCs w:val="20"/>
          <w:lang w:val="en-US" w:eastAsia="zh-Hans"/>
        </w:rPr>
      </w:pPr>
      <w:r>
        <w:rPr>
          <w:rFonts w:hint="eastAsia" w:ascii="宋体" w:hAnsi="宋体"/>
          <w:b/>
          <w:color w:val="auto"/>
          <w:sz w:val="28"/>
          <w:szCs w:val="20"/>
          <w:lang w:val="en-US" w:eastAsia="zh-Hans"/>
        </w:rPr>
        <w:t>合同争议的解决方式</w:t>
      </w:r>
    </w:p>
    <w:p w14:paraId="3A71C7F8">
      <w:pPr>
        <w:numPr>
          <w:ilvl w:val="0"/>
          <w:numId w:val="0"/>
        </w:numPr>
        <w:ind w:leftChars="-1"/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</w:pPr>
      <w:r>
        <w:rPr>
          <w:rFonts w:hint="default" w:ascii="宋体" w:hAnsi="宋体"/>
          <w:b/>
          <w:color w:val="auto"/>
          <w:sz w:val="28"/>
          <w:szCs w:val="20"/>
          <w:lang w:eastAsia="zh-Hans"/>
        </w:rPr>
        <w:t xml:space="preserve">    </w:t>
      </w:r>
      <w:r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  <w:t>1、凡因本合同引起的或与本合同有关的任何争议、索赔和纠纷（以下合称“争议”），应首先由双方以友好协商方式解决。</w:t>
      </w:r>
    </w:p>
    <w:p w14:paraId="4459DEE9">
      <w:pPr>
        <w:numPr>
          <w:ilvl w:val="0"/>
          <w:numId w:val="0"/>
        </w:numPr>
        <w:ind w:leftChars="-1" w:firstLine="560" w:firstLineChars="200"/>
        <w:rPr>
          <w:rFonts w:hint="default" w:ascii="宋体" w:hAnsi="宋体"/>
          <w:b w:val="0"/>
          <w:bCs/>
          <w:color w:val="auto"/>
          <w:sz w:val="28"/>
          <w:szCs w:val="20"/>
          <w:u w:val="none"/>
          <w:lang w:eastAsia="zh-Hans"/>
        </w:rPr>
      </w:pPr>
      <w:r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  <w:t>2、协商不成的，</w:t>
      </w:r>
      <w:r>
        <w:rPr>
          <w:rFonts w:hint="eastAsia" w:ascii="宋体" w:hAnsi="宋体"/>
          <w:b w:val="0"/>
          <w:bCs/>
          <w:color w:val="auto"/>
          <w:sz w:val="28"/>
          <w:szCs w:val="20"/>
          <w:lang w:val="en-US" w:eastAsia="zh-Hans"/>
        </w:rPr>
        <w:t>通过以下第</w:t>
      </w:r>
      <w:r>
        <w:rPr>
          <w:rFonts w:hint="default" w:ascii="宋体" w:hAnsi="宋体"/>
          <w:b w:val="0"/>
          <w:bCs/>
          <w:color w:val="auto"/>
          <w:sz w:val="28"/>
          <w:szCs w:val="20"/>
          <w:u w:val="single"/>
          <w:lang w:eastAsia="zh-Hans"/>
        </w:rPr>
        <w:t xml:space="preserve">    </w:t>
      </w:r>
      <w:r>
        <w:rPr>
          <w:rFonts w:hint="eastAsia" w:ascii="宋体" w:hAnsi="宋体"/>
          <w:b w:val="0"/>
          <w:bCs/>
          <w:color w:val="auto"/>
          <w:sz w:val="28"/>
          <w:szCs w:val="20"/>
          <w:u w:val="none"/>
          <w:lang w:val="en-US" w:eastAsia="zh-Hans"/>
        </w:rPr>
        <w:t>项方式解决</w:t>
      </w:r>
      <w:r>
        <w:rPr>
          <w:rFonts w:hint="default" w:ascii="宋体" w:hAnsi="宋体"/>
          <w:b w:val="0"/>
          <w:bCs/>
          <w:color w:val="auto"/>
          <w:sz w:val="28"/>
          <w:szCs w:val="20"/>
          <w:u w:val="none"/>
          <w:lang w:eastAsia="zh-Hans"/>
        </w:rPr>
        <w:t>：</w:t>
      </w:r>
    </w:p>
    <w:p w14:paraId="44C96D12">
      <w:pPr>
        <w:numPr>
          <w:ilvl w:val="0"/>
          <w:numId w:val="0"/>
        </w:numPr>
        <w:ind w:leftChars="-1" w:firstLine="560" w:firstLineChars="200"/>
        <w:rPr>
          <w:rFonts w:hint="default" w:ascii="宋体" w:hAnsi="宋体"/>
          <w:b/>
          <w:color w:val="auto"/>
          <w:sz w:val="28"/>
          <w:szCs w:val="20"/>
          <w:lang w:eastAsia="zh-Hans"/>
        </w:rPr>
      </w:pPr>
      <w:r>
        <w:rPr>
          <w:rFonts w:hint="default" w:ascii="宋体" w:hAnsi="宋体"/>
          <w:b w:val="0"/>
          <w:bCs/>
          <w:color w:val="auto"/>
          <w:sz w:val="28"/>
          <w:szCs w:val="20"/>
          <w:u w:val="none"/>
          <w:lang w:eastAsia="zh-Hans"/>
        </w:rPr>
        <w:t>2</w:t>
      </w:r>
      <w:r>
        <w:rPr>
          <w:rFonts w:hint="eastAsia" w:ascii="宋体" w:hAnsi="宋体"/>
          <w:b w:val="0"/>
          <w:bCs/>
          <w:color w:val="auto"/>
          <w:sz w:val="28"/>
          <w:szCs w:val="20"/>
          <w:u w:val="none"/>
          <w:lang w:val="en-US" w:eastAsia="zh-Hans"/>
        </w:rPr>
        <w:t>.</w:t>
      </w:r>
      <w:r>
        <w:rPr>
          <w:rFonts w:hint="default" w:ascii="宋体" w:hAnsi="宋体"/>
          <w:b w:val="0"/>
          <w:bCs/>
          <w:color w:val="auto"/>
          <w:sz w:val="28"/>
          <w:szCs w:val="20"/>
          <w:u w:val="none"/>
          <w:lang w:eastAsia="zh-Hans"/>
        </w:rPr>
        <w:t>1</w:t>
      </w:r>
      <w:r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  <w:t>提交</w:t>
      </w:r>
      <w:r>
        <w:rPr>
          <w:rFonts w:hint="default" w:ascii="宋体" w:hAnsi="宋体"/>
          <w:b w:val="0"/>
          <w:bCs/>
          <w:color w:val="auto"/>
          <w:sz w:val="28"/>
          <w:szCs w:val="20"/>
          <w:u w:val="single"/>
          <w:lang w:eastAsia="zh-Hans"/>
        </w:rPr>
        <w:t xml:space="preserve">           </w:t>
      </w:r>
      <w:r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  <w:t>仲裁委员会进行仲裁</w:t>
      </w:r>
      <w:r>
        <w:rPr>
          <w:rFonts w:hint="default" w:ascii="宋体" w:hAnsi="宋体"/>
          <w:b/>
          <w:color w:val="auto"/>
          <w:sz w:val="28"/>
          <w:szCs w:val="20"/>
          <w:lang w:eastAsia="zh-Hans"/>
        </w:rPr>
        <w:t>。</w:t>
      </w:r>
    </w:p>
    <w:p w14:paraId="5B8DA800">
      <w:pPr>
        <w:numPr>
          <w:ilvl w:val="0"/>
          <w:numId w:val="0"/>
        </w:numPr>
        <w:ind w:leftChars="-1" w:firstLine="560" w:firstLineChars="200"/>
        <w:rPr>
          <w:rFonts w:hint="default" w:ascii="宋体" w:hAnsi="宋体"/>
          <w:b w:val="0"/>
          <w:bCs/>
          <w:color w:val="auto"/>
          <w:sz w:val="28"/>
          <w:szCs w:val="20"/>
          <w:u w:val="none"/>
          <w:lang w:eastAsia="zh-Hans"/>
        </w:rPr>
      </w:pPr>
      <w:r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  <w:t>2</w:t>
      </w:r>
      <w:r>
        <w:rPr>
          <w:rFonts w:hint="eastAsia" w:ascii="宋体" w:hAnsi="宋体"/>
          <w:b w:val="0"/>
          <w:bCs/>
          <w:color w:val="auto"/>
          <w:sz w:val="28"/>
          <w:szCs w:val="20"/>
          <w:lang w:val="en-US" w:eastAsia="zh-Hans"/>
        </w:rPr>
        <w:t>.</w:t>
      </w:r>
      <w:r>
        <w:rPr>
          <w:rFonts w:hint="default" w:ascii="宋体" w:hAnsi="宋体"/>
          <w:b w:val="0"/>
          <w:bCs/>
          <w:color w:val="auto"/>
          <w:sz w:val="28"/>
          <w:szCs w:val="20"/>
          <w:lang w:eastAsia="zh-Hans"/>
        </w:rPr>
        <w:t>2</w:t>
      </w:r>
      <w:r>
        <w:rPr>
          <w:rFonts w:hint="eastAsia" w:ascii="宋体" w:hAnsi="宋体"/>
          <w:b w:val="0"/>
          <w:bCs/>
          <w:color w:val="auto"/>
          <w:sz w:val="28"/>
          <w:szCs w:val="20"/>
          <w:lang w:val="en-US" w:eastAsia="zh-Hans"/>
        </w:rPr>
        <w:t>向</w:t>
      </w:r>
      <w:r>
        <w:rPr>
          <w:rFonts w:hint="eastAsia" w:ascii="宋体" w:hAnsi="宋体"/>
          <w:b w:val="0"/>
          <w:bCs/>
          <w:color w:val="auto"/>
          <w:sz w:val="28"/>
          <w:szCs w:val="20"/>
          <w:lang w:val="en-US" w:eastAsia="zh-CN"/>
        </w:rPr>
        <w:t>项目</w:t>
      </w:r>
      <w:r>
        <w:rPr>
          <w:rFonts w:hint="eastAsia" w:ascii="宋体" w:hAnsi="宋体"/>
          <w:b w:val="0"/>
          <w:bCs/>
          <w:color w:val="auto"/>
          <w:sz w:val="28"/>
          <w:szCs w:val="20"/>
          <w:u w:val="none"/>
          <w:lang w:val="en-US" w:eastAsia="zh-Hans"/>
        </w:rPr>
        <w:t>所在地人民法院提起诉讼</w:t>
      </w:r>
      <w:r>
        <w:rPr>
          <w:rFonts w:hint="default" w:ascii="宋体" w:hAnsi="宋体"/>
          <w:b w:val="0"/>
          <w:bCs/>
          <w:color w:val="auto"/>
          <w:sz w:val="28"/>
          <w:szCs w:val="20"/>
          <w:u w:val="none"/>
          <w:lang w:eastAsia="zh-Hans"/>
        </w:rPr>
        <w:t>。</w:t>
      </w:r>
    </w:p>
    <w:p w14:paraId="0027E412">
      <w:pPr>
        <w:ind w:left="-2" w:leftChars="-1" w:firstLine="2"/>
        <w:rPr>
          <w:rFonts w:hint="eastAsia"/>
          <w:sz w:val="28"/>
          <w:szCs w:val="28"/>
        </w:rPr>
      </w:pPr>
      <w:r>
        <w:rPr>
          <w:rFonts w:hint="eastAsia" w:ascii="宋体" w:hAnsi="宋体"/>
          <w:b/>
          <w:sz w:val="28"/>
          <w:szCs w:val="20"/>
          <w:lang w:val="en-US" w:eastAsia="zh-Hans"/>
        </w:rPr>
        <w:t>十一</w:t>
      </w:r>
      <w:r>
        <w:rPr>
          <w:rFonts w:hint="default" w:ascii="宋体" w:hAnsi="宋体"/>
          <w:b/>
          <w:sz w:val="28"/>
          <w:szCs w:val="20"/>
          <w:lang w:eastAsia="zh-Hans"/>
        </w:rPr>
        <w:t>、</w:t>
      </w:r>
      <w:r>
        <w:rPr>
          <w:rFonts w:hint="eastAsia"/>
          <w:sz w:val="28"/>
          <w:szCs w:val="28"/>
        </w:rPr>
        <w:t>本合同一式四份，甲、乙双方各执两份。双方签字盖章之日起生效。未尽事宜，双方协商并签订补充协议，补充协议与本合同具有同等效力。</w:t>
      </w:r>
    </w:p>
    <w:p w14:paraId="5921D577">
      <w:pPr>
        <w:ind w:left="-139" w:leftChars="-66" w:firstLine="138" w:firstLineChars="49"/>
        <w:rPr>
          <w:rFonts w:hint="eastAsia" w:ascii="宋体" w:hAnsi="宋体"/>
          <w:b/>
          <w:sz w:val="28"/>
          <w:szCs w:val="20"/>
        </w:rPr>
      </w:pPr>
      <w:r>
        <w:rPr>
          <w:rFonts w:hint="eastAsia" w:ascii="宋体" w:hAnsi="宋体"/>
          <w:b/>
          <w:sz w:val="28"/>
          <w:szCs w:val="20"/>
        </w:rPr>
        <w:t>十</w:t>
      </w:r>
      <w:r>
        <w:rPr>
          <w:rFonts w:hint="eastAsia" w:ascii="宋体" w:hAnsi="宋体"/>
          <w:b/>
          <w:sz w:val="28"/>
          <w:szCs w:val="20"/>
          <w:lang w:val="en-US" w:eastAsia="zh-Hans"/>
        </w:rPr>
        <w:t>二</w:t>
      </w:r>
      <w:r>
        <w:rPr>
          <w:rFonts w:hint="eastAsia" w:ascii="宋体" w:hAnsi="宋体"/>
          <w:b/>
          <w:sz w:val="28"/>
          <w:szCs w:val="20"/>
        </w:rPr>
        <w:t>、其它</w:t>
      </w:r>
    </w:p>
    <w:p w14:paraId="7A0C93D8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7718F4D2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452F0647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1689C17E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0B610C26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10D82156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50BA5C50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303BC414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6CDEC901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04C7E4F0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6BD3EE1C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69F664F0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0BEDA794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10DBFB58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46E3A67B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11490473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1FB50B12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09F06FA5">
      <w:pPr>
        <w:ind w:right="720"/>
        <w:rPr>
          <w:rFonts w:hint="default" w:eastAsia="宋体"/>
          <w:sz w:val="22"/>
          <w:szCs w:val="22"/>
          <w:lang w:val="en-US" w:eastAsia="zh-CN"/>
        </w:rPr>
      </w:pPr>
    </w:p>
    <w:p w14:paraId="029944FC">
      <w:pPr>
        <w:spacing w:line="360" w:lineRule="auto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（本页为签署页，无正文）</w:t>
      </w:r>
    </w:p>
    <w:p w14:paraId="5D7B9476">
      <w:pPr>
        <w:pStyle w:val="2"/>
      </w:pPr>
    </w:p>
    <w:p w14:paraId="595AD33C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委托方(甲方)名称(盖章)              受托方(乙方)名称(盖章)</w:t>
      </w:r>
    </w:p>
    <w:p w14:paraId="542F16FD">
      <w:pPr>
        <w:spacing w:line="520" w:lineRule="exact"/>
        <w:ind w:right="-212" w:rightChars="-101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 xml:space="preserve"> </w:t>
      </w:r>
      <w:r>
        <w:rPr>
          <w:rFonts w:ascii="宋体" w:hAnsi="宋体"/>
          <w:sz w:val="28"/>
          <w:szCs w:val="36"/>
        </w:rPr>
        <w:t xml:space="preserve">                                   </w:t>
      </w:r>
    </w:p>
    <w:p w14:paraId="7D2149DF">
      <w:pPr>
        <w:spacing w:line="520" w:lineRule="exact"/>
        <w:ind w:right="-212" w:rightChars="-101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地址：                              地址：</w:t>
      </w:r>
    </w:p>
    <w:p w14:paraId="27174AD9">
      <w:pPr>
        <w:snapToGrid w:val="0"/>
        <w:spacing w:line="520" w:lineRule="exact"/>
        <w:rPr>
          <w:rFonts w:hint="eastAsia"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 xml:space="preserve"> </w:t>
      </w:r>
      <w:r>
        <w:rPr>
          <w:rFonts w:ascii="宋体" w:hAnsi="宋体"/>
          <w:sz w:val="28"/>
          <w:szCs w:val="36"/>
        </w:rPr>
        <w:t xml:space="preserve">                                  </w:t>
      </w:r>
    </w:p>
    <w:p w14:paraId="605121D5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法定代表人(签名或盖章)              法定代表人(签名或盖章)</w:t>
      </w:r>
    </w:p>
    <w:p w14:paraId="7E96ECF0">
      <w:pPr>
        <w:snapToGrid w:val="0"/>
        <w:spacing w:line="520" w:lineRule="exact"/>
        <w:rPr>
          <w:rFonts w:ascii="宋体" w:hAnsi="宋体"/>
          <w:sz w:val="28"/>
          <w:szCs w:val="36"/>
        </w:rPr>
      </w:pPr>
    </w:p>
    <w:p w14:paraId="016AF643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委托代理人(签名或盖章)              委托代理人(签名或盖章)</w:t>
      </w:r>
    </w:p>
    <w:p w14:paraId="74D0D10E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联系人：                            联系人：</w:t>
      </w:r>
    </w:p>
    <w:p w14:paraId="20C66732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电话：                              电话：</w:t>
      </w:r>
    </w:p>
    <w:p w14:paraId="1C55D5A4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传真：                              传真：</w:t>
      </w:r>
    </w:p>
    <w:p w14:paraId="0D7CCAD5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电子邮箱：                          电子邮箱：</w:t>
      </w:r>
    </w:p>
    <w:p w14:paraId="03B3035A">
      <w:pPr>
        <w:snapToGrid w:val="0"/>
        <w:spacing w:line="520" w:lineRule="exact"/>
        <w:rPr>
          <w:rFonts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邮政编码：                          邮政编码：</w:t>
      </w:r>
    </w:p>
    <w:p w14:paraId="27DC0268">
      <w:pPr>
        <w:snapToGrid w:val="0"/>
        <w:spacing w:line="520" w:lineRule="exact"/>
        <w:rPr>
          <w:rFonts w:hint="eastAsia"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开户名称：                          开户名称：</w:t>
      </w:r>
    </w:p>
    <w:p w14:paraId="6C5A3C77">
      <w:pPr>
        <w:snapToGrid w:val="0"/>
        <w:spacing w:line="520" w:lineRule="exact"/>
        <w:rPr>
          <w:rFonts w:hint="eastAsia"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 xml:space="preserve">开户银行：                         </w:t>
      </w:r>
      <w:r>
        <w:rPr>
          <w:rFonts w:ascii="宋体" w:hAnsi="宋体"/>
          <w:sz w:val="28"/>
          <w:szCs w:val="36"/>
        </w:rPr>
        <w:t xml:space="preserve"> </w:t>
      </w:r>
      <w:r>
        <w:rPr>
          <w:rFonts w:hint="eastAsia" w:ascii="宋体" w:hAnsi="宋体"/>
          <w:sz w:val="28"/>
          <w:szCs w:val="36"/>
        </w:rPr>
        <w:t>开户银行：</w:t>
      </w:r>
    </w:p>
    <w:p w14:paraId="45B41726">
      <w:pPr>
        <w:snapToGrid w:val="0"/>
        <w:spacing w:line="520" w:lineRule="exact"/>
        <w:rPr>
          <w:rFonts w:hint="eastAsia" w:ascii="宋体" w:hAnsi="宋体"/>
          <w:sz w:val="28"/>
          <w:szCs w:val="36"/>
        </w:rPr>
      </w:pPr>
      <w:r>
        <w:rPr>
          <w:rFonts w:hint="eastAsia" w:ascii="宋体" w:hAnsi="宋体"/>
          <w:sz w:val="28"/>
          <w:szCs w:val="36"/>
        </w:rPr>
        <w:t>银行账号：                          银行账号：</w:t>
      </w:r>
    </w:p>
    <w:p w14:paraId="09B1C70A">
      <w:pPr>
        <w:ind w:right="720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ascii="宋体" w:hAnsi="宋体"/>
          <w:sz w:val="28"/>
          <w:szCs w:val="36"/>
        </w:rPr>
        <w:t xml:space="preserve">年    月     日                  </w:t>
      </w:r>
      <w:r>
        <w:rPr>
          <w:rFonts w:ascii="宋体" w:hAnsi="宋体"/>
          <w:sz w:val="28"/>
          <w:szCs w:val="36"/>
        </w:rPr>
        <w:t xml:space="preserve">   </w:t>
      </w:r>
      <w:r>
        <w:rPr>
          <w:rFonts w:hint="eastAsia" w:ascii="宋体" w:hAnsi="宋体"/>
          <w:sz w:val="28"/>
          <w:szCs w:val="36"/>
        </w:rPr>
        <w:t>年     月     日</w:t>
      </w:r>
    </w:p>
    <w:p w14:paraId="7853B2F9">
      <w:pPr>
        <w:ind w:right="7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</w:t>
      </w:r>
    </w:p>
    <w:p w14:paraId="6605B206"/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FF7387"/>
    <w:multiLevelType w:val="singleLevel"/>
    <w:tmpl w:val="E1FF7387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E4A63"/>
    <w:rsid w:val="430A17B4"/>
    <w:rsid w:val="43700AD9"/>
    <w:rsid w:val="46863243"/>
    <w:rsid w:val="50190321"/>
    <w:rsid w:val="585F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1"/>
    <w:pPr>
      <w:ind w:left="237"/>
      <w:outlineLvl w:val="3"/>
    </w:pPr>
    <w:rPr>
      <w:rFonts w:hint="eastAsia" w:ascii="宋体" w:hAnsi="宋体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1716</Words>
  <Characters>1794</Characters>
  <Lines>0</Lines>
  <Paragraphs>0</Paragraphs>
  <TotalTime>0</TotalTime>
  <ScaleCrop>false</ScaleCrop>
  <LinksUpToDate>false</LinksUpToDate>
  <CharactersWithSpaces>2242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</cp:lastModifiedBy>
  <dcterms:modified xsi:type="dcterms:W3CDTF">2026-04-08T09:21:07Z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eyJoZGlkIjoiYWJiMzc3NmVmOTE3YjM4ZGUyZmI1NDQ0OGFiNWI4ZGMiLCJ1c2VySWQiOiIzNTgyNzg4MjIifQ==</vt:lpwstr>
  </property>
  <property fmtid="{D5CDD505-2E9C-101B-9397-08002B2CF9AE}" pid="4" name="ICV">
    <vt:lpwstr>2D73CC418A314F07B3C14965E822B916_12</vt:lpwstr>
  </property>
</Properties>
</file>