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版本号：SXDY-2025-30420251015001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《乾县2025年市级占补平衡补充耕地项目》勘察设计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SXDY-2025-304</w:t>
      </w:r>
      <w:r>
        <w:br/>
      </w:r>
      <w:r>
        <w:br/>
      </w:r>
      <w:r>
        <w:br/>
      </w:r>
    </w:p>
    <w:p>
      <w:pPr>
        <w:pStyle w:val="null3"/>
        <w:jc w:val="center"/>
        <w:outlineLvl w:val="2"/>
      </w:pPr>
      <w:r>
        <w:rPr>
          <w:rFonts w:ascii="仿宋_GB2312" w:hAnsi="仿宋_GB2312" w:cs="仿宋_GB2312" w:eastAsia="仿宋_GB2312"/>
          <w:sz w:val="28"/>
          <w:b/>
        </w:rPr>
        <w:t>乾县自然资源局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乾县自然资源局</w:t>
      </w:r>
      <w:r>
        <w:rPr>
          <w:rFonts w:ascii="仿宋_GB2312" w:hAnsi="仿宋_GB2312" w:cs="仿宋_GB2312" w:eastAsia="仿宋_GB2312"/>
        </w:rPr>
        <w:t>委托，拟对</w:t>
      </w:r>
      <w:r>
        <w:rPr>
          <w:rFonts w:ascii="仿宋_GB2312" w:hAnsi="仿宋_GB2312" w:cs="仿宋_GB2312" w:eastAsia="仿宋_GB2312"/>
        </w:rPr>
        <w:t>《乾县2025年市级占补平衡补充耕地项目》勘察设计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SXDY-2025-304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《乾县2025年市级占补平衡补充耕地项目》勘察设计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乾县2025年市级占补平衡补充耕地项目涉及8个镇(办)，地块现状地类全部为果园和其他园地;项目补充耕地面积为2718.5亩，其中2089亩为占补平衡用地，629.5亩为高标准农田建设用地。按照咸阳市田长制办公室《关于下达2025年度补充耕地任务的通知》文件要求，树立“大耕保”意识，坚持“以补定占”，严格管控各类占用耕地行为，严格落实耕地占补平衡;统筹部署恢复和垦造耕地工作,实现耕地总量动态平衡前提下有效增加稳定耕地，切实做到数量平衡、质量平衡、产能平衡；现对《乾县2025年市级占补平衡项目》的勘察设计等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采购包1（《乾县2025年市级占补平衡补充耕地项目》勘察设计）：属于专门面向中小企业采购。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1、营业执照：具有合法有效的营业执照、组织机构代码证、税务登记证（或统一社会信用代码的营业执照）；供应商需在项目电子化交易系统中按要求上传相应证明文件并进行电子签章；</w:t>
      </w:r>
    </w:p>
    <w:p>
      <w:pPr>
        <w:pStyle w:val="null3"/>
      </w:pPr>
      <w:r>
        <w:rPr>
          <w:rFonts w:ascii="仿宋_GB2312" w:hAnsi="仿宋_GB2312" w:cs="仿宋_GB2312" w:eastAsia="仿宋_GB2312"/>
        </w:rPr>
        <w:t>2、企业资质：须具备行政主管部门颁发的土地规划乙级及以上和测绘乙级及以上资质；供应商需在项目电子化交易系统中按要求上传相应证明文件并进行电子签章；</w:t>
      </w:r>
    </w:p>
    <w:p>
      <w:pPr>
        <w:pStyle w:val="null3"/>
      </w:pPr>
      <w:r>
        <w:rPr>
          <w:rFonts w:ascii="仿宋_GB2312" w:hAnsi="仿宋_GB2312" w:cs="仿宋_GB2312" w:eastAsia="仿宋_GB2312"/>
        </w:rPr>
        <w:t>3、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证明：提供2025年1月至今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2025年1月至今至少一个月已缴纳的增值税或营业税或企业所得税或印花税的凭据或完税证明；依法免税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6、参加政府采购活动前3年内在经营活动中没有重大违法记录（声明）：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pPr>
        <w:pStyle w:val="null3"/>
      </w:pPr>
      <w:r>
        <w:rPr>
          <w:rFonts w:ascii="仿宋_GB2312" w:hAnsi="仿宋_GB2312" w:cs="仿宋_GB2312" w:eastAsia="仿宋_GB2312"/>
        </w:rPr>
        <w:t>7、提供具有履行合同所必须的设备和专业技术能力的书面承诺：供应商需在项目电子化交易系统中提供具有履行合同所必须的设备和专业技术能力的书面承诺并进行电子签章；供应商需在项目电子化交易系统中按要求上传相应证明文件并进行电子签章；</w:t>
      </w:r>
    </w:p>
    <w:p>
      <w:pPr>
        <w:pStyle w:val="null3"/>
      </w:pPr>
      <w:r>
        <w:rPr>
          <w:rFonts w:ascii="仿宋_GB2312" w:hAnsi="仿宋_GB2312" w:cs="仿宋_GB2312" w:eastAsia="仿宋_GB2312"/>
        </w:rPr>
        <w:t>8、信用主体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9、本项目不接受联合体：供应商需在项目电子化交易系统中提供非联合体投标承诺书并进行电子签章；供应商需在项目电子化交易系统中按要求上传相应证明文件并进行电子签章；</w:t>
      </w:r>
    </w:p>
    <w:p>
      <w:pPr>
        <w:pStyle w:val="null3"/>
      </w:pPr>
      <w:r>
        <w:rPr>
          <w:rFonts w:ascii="仿宋_GB2312" w:hAnsi="仿宋_GB2312" w:cs="仿宋_GB2312" w:eastAsia="仿宋_GB2312"/>
        </w:rPr>
        <w:t>10、法定代表人身份证明及法定代表人授权委托书：供应商需在项目电子化交易系统中提供法定代表人身份证明或法定代表人授权委托书，供应商需在项目电子化交易系统中按要求上传文件并进行电子签章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乾县东环北路8号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029-35521030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西咸新区沣西新城天兴大厦 1710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029-88689013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采购包1：1,830,137.25元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代理服务费收费标准：参照国家发改委文件计价格〔2002〕1980号及发改价格〔2011〕534号文件规定标准计取。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乾县自然资源局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联系人：陈娜</w:t>
      </w:r>
    </w:p>
    <w:p>
      <w:pPr>
        <w:pStyle w:val="null3"/>
      </w:pPr>
      <w:r>
        <w:rPr>
          <w:rFonts w:ascii="仿宋_GB2312" w:hAnsi="仿宋_GB2312" w:cs="仿宋_GB2312" w:eastAsia="仿宋_GB2312"/>
        </w:rPr>
        <w:t>联系电话：029-88689013</w:t>
      </w:r>
    </w:p>
    <w:p>
      <w:pPr>
        <w:pStyle w:val="null3"/>
      </w:pPr>
      <w:r>
        <w:rPr>
          <w:rFonts w:ascii="仿宋_GB2312" w:hAnsi="仿宋_GB2312" w:cs="仿宋_GB2312" w:eastAsia="仿宋_GB2312"/>
        </w:rPr>
        <w:t>地址：西咸新区沣西新城天兴大厦 1710 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《乾县2025年市级占补平衡补充耕地项目》勘察设计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1,830,137.25</w:t>
      </w:r>
    </w:p>
    <w:p>
      <w:pPr>
        <w:pStyle w:val="null3"/>
      </w:pPr>
      <w:r>
        <w:rPr>
          <w:rFonts w:ascii="仿宋_GB2312" w:hAnsi="仿宋_GB2312" w:cs="仿宋_GB2312" w:eastAsia="仿宋_GB2312"/>
        </w:rPr>
        <w:t>采购包最高限价（元）: 1,830,137.25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《乾县2025年市级占补平衡补充耕地项目》勘察设计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1,830,137.25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标的名称：《乾县2025年市级占补平衡补充耕地项目》勘察设计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项目概况：乾县</w:t>
            </w:r>
            <w:r>
              <w:rPr>
                <w:rFonts w:ascii="仿宋_GB2312" w:hAnsi="仿宋_GB2312" w:cs="仿宋_GB2312" w:eastAsia="仿宋_GB2312"/>
              </w:rPr>
              <w:t>2025年市级占补平衡补充耕地项目涉及8个镇(办)，地块现状地类全部为果园和其他园地;项目补充耕地面积为2718.5亩，其中2089亩为占补平衡用地，629.5亩为高标准农田建设用地。</w:t>
            </w:r>
          </w:p>
          <w:p>
            <w:pPr>
              <w:pStyle w:val="null3"/>
            </w:pPr>
            <w:r>
              <w:rPr>
                <w:rFonts w:ascii="仿宋_GB2312" w:hAnsi="仿宋_GB2312" w:cs="仿宋_GB2312" w:eastAsia="仿宋_GB2312"/>
              </w:rPr>
              <w:t>采购目的：按照咸阳市田长制办公室《关于下达</w:t>
            </w:r>
            <w:r>
              <w:rPr>
                <w:rFonts w:ascii="仿宋_GB2312" w:hAnsi="仿宋_GB2312" w:cs="仿宋_GB2312" w:eastAsia="仿宋_GB2312"/>
              </w:rPr>
              <w:t>2025年度补充耕地任务的通知》文件要求，树立“大耕保”意识，坚持“以补定占”，严格管控各类占用耕地行为，严格落实耕地占补平衡;统筹部署恢复和垦造耕地工作,实现耕地总量动态平衡前提下有效增加稳定耕地，切实做到数量平衡、质量平衡、产能平衡；现对《乾县2025年市级占补平衡项目》的勘察设计等采购。</w:t>
            </w:r>
          </w:p>
          <w:p>
            <w:pPr>
              <w:pStyle w:val="null3"/>
            </w:pPr>
            <w:r>
              <w:rPr>
                <w:rFonts w:ascii="仿宋_GB2312" w:hAnsi="仿宋_GB2312" w:cs="仿宋_GB2312" w:eastAsia="仿宋_GB2312"/>
              </w:rPr>
              <w:t>采购内容：</w:t>
            </w:r>
            <w:r>
              <w:rPr>
                <w:rFonts w:ascii="仿宋_GB2312" w:hAnsi="仿宋_GB2312" w:cs="仿宋_GB2312" w:eastAsia="仿宋_GB2312"/>
              </w:rPr>
              <w:t>1.占补平衡项目（初步选址、土地清查、项目可行性研究、项目勘测、项目设计和预算编制、影像采集（优于0.1米分辨率）实地举证；）</w:t>
            </w:r>
          </w:p>
          <w:p>
            <w:pPr>
              <w:pStyle w:val="null3"/>
            </w:pPr>
            <w:r>
              <w:rPr>
                <w:rFonts w:ascii="仿宋_GB2312" w:hAnsi="仿宋_GB2312" w:cs="仿宋_GB2312" w:eastAsia="仿宋_GB2312"/>
              </w:rPr>
              <w:t>高标准农田项目（土地清查、项目可行性研究、项目勘测、项目设计和预算编制、影像采集（优于</w:t>
            </w:r>
            <w:r>
              <w:rPr>
                <w:rFonts w:ascii="仿宋_GB2312" w:hAnsi="仿宋_GB2312" w:cs="仿宋_GB2312" w:eastAsia="仿宋_GB2312"/>
              </w:rPr>
              <w:t>0.1米分辨率））</w:t>
            </w:r>
          </w:p>
          <w:p>
            <w:pPr>
              <w:pStyle w:val="null3"/>
              <w:jc w:val="both"/>
            </w:pPr>
            <w:r>
              <w:rPr>
                <w:rFonts w:ascii="仿宋_GB2312" w:hAnsi="仿宋_GB2312" w:cs="仿宋_GB2312" w:eastAsia="仿宋_GB2312"/>
                <w:sz w:val="21"/>
              </w:rPr>
              <w:t>成果要求：占补平衡补充耕地项目图斑进行土地清查</w:t>
            </w:r>
            <w:r>
              <w:rPr>
                <w:rFonts w:ascii="仿宋_GB2312" w:hAnsi="仿宋_GB2312" w:cs="仿宋_GB2312" w:eastAsia="仿宋_GB2312"/>
                <w:sz w:val="21"/>
              </w:rPr>
              <w:t>(实地踏勘)后，出具项目可行性研究报告，项目图斑实地测量数据报告，出具项目设计与预算编制，出具项目图斑地质灾害评估报告，待项目取得立项批复后在全国耕地占补平衡动态监管系统进行立项报备等。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第一次项目资金下达后支付合同总金额的80.00%。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第二次施工完成后支付合同总金额的20.00%。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①双方达成仲裁协议，向约定的仲裁委员会申请仲裁；②向甲方住所地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具有合法有效的营业执照、组织机构代码证、税务登记证（或统一社会信用代码的营业执照）；供应商需在项目电子化交易系统中按要求上传相应证明文件并进行电子签章；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须具备行政主管部门颁发的土地规划乙级及以上和测绘乙级及以上资质；供应商需在项目电子化交易系统中按要求上传相应证明文件并进行电子签章；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至少一个月已缴纳的增值税或营业税或企业所得税或印花税的凭据或完税证明；依法免税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提供具有履行合同所必须的设备和专业技术能力的书面承诺</w:t>
            </w:r>
          </w:p>
        </w:tc>
        <w:tc>
          <w:tcPr>
            <w:tcW w:type="dxa" w:w="3322"/>
          </w:tcPr>
          <w:p>
            <w:pPr>
              <w:pStyle w:val="null3"/>
            </w:pPr>
            <w:r>
              <w:rPr>
                <w:rFonts w:ascii="仿宋_GB2312" w:hAnsi="仿宋_GB2312" w:cs="仿宋_GB2312" w:eastAsia="仿宋_GB2312"/>
              </w:rPr>
              <w:t>供应商需在项目电子化交易系统中提供具有履行合同所必须的设备和专业技术能力的书面承诺并进行电子签章；供应商需在项目电子化交易系统中按要求上传相应证明文件并进行电子签章；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供应商需在项目电子化交易系统中提供非联合体投标承诺书并进行电子签章；供应商需在项目电子化交易系统中按要求上传相应证明文件并进行电子签章；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法定代表人身份证明及法定代表人授权委托书</w:t>
            </w:r>
          </w:p>
        </w:tc>
        <w:tc>
          <w:tcPr>
            <w:tcW w:type="dxa" w:w="3322"/>
          </w:tcPr>
          <w:p>
            <w:pPr>
              <w:pStyle w:val="null3"/>
            </w:pPr>
            <w:r>
              <w:rPr>
                <w:rFonts w:ascii="仿宋_GB2312" w:hAnsi="仿宋_GB2312" w:cs="仿宋_GB2312" w:eastAsia="仿宋_GB2312"/>
              </w:rPr>
              <w:t>供应商需在项目电子化交易系统中提供法定代表人身份证明或法定代表人授权委托书，供应商需在项目电子化交易系统中按要求上传文件并进行电子签章</w:t>
            </w:r>
          </w:p>
        </w:tc>
        <w:tc>
          <w:tcPr>
            <w:tcW w:type="dxa" w:w="1661"/>
          </w:tcPr>
          <w:p>
            <w:pPr>
              <w:pStyle w:val="null3"/>
            </w:pPr>
            <w:r>
              <w:rPr>
                <w:rFonts w:ascii="仿宋_GB2312" w:hAnsi="仿宋_GB2312" w:cs="仿宋_GB2312" w:eastAsia="仿宋_GB2312"/>
              </w:rPr>
              <w:t>法定代表人身份证明及法定代表人授权委托书.docx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服务计划.docx 业绩.docx 法定代表人身份证明及法定代表人授权委托书.docx 开标一览表 商务应答表 服务承诺.docx 服务内容及服务要求应答表 项目配备人员.docx 合理化建议.docx 投标人应提交的相关资格证明材料 投标函 残疾人福利性单位声明函 服务方案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开标一览表 投标函 中小企业声明函 商务应答表 服务内容及服务要求应答表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服务总体设想及目标、服务理念及特色。全面、可实施性及针对性强5&lt;得分≤8分；较全面、可实施性及针对性较强得1&lt;得分≤5分；不全面、可实施性及针对性一般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服务计划.docx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CDATA[评审内容 供应商提供针对于本项目的勘察、设计方案，方案内容包含： ①服务目标及计划安排； ②服务重难点分析及解决方案； ③服务内容及措施； ④服务理念及特色。 评审标准 1、完整性：方案须详细全面，表述清晰完整，完全满足招标文件要求； 2、可实施性：切合本项目实际情况，实施步骤清晰、合理； 3、针对性：方案能够紧扣项目实际情况，内容科学合理。 赋分标准（满分32分） ①服务目标及计划安排：完整性、可实施性、针对性合理5<得分≤8分，完整性、可实施性、针对性较为合理1<得分≤5分，不合理或不提供得0分； ②服务重难点分析及解决方案：完整性、可实施性、针对性合理5<得分≤8分，完整性、可实施性、针对性较为合理1<得分≤5分，不合理或不提供得0分；； ③服务内容及措施：完整性、可实施性、针对性合理5<得分≤8分，完整性、可实施性、针对性较为合理1<得分≤5分，不合理或不提供得0分；； ④服务理念及特色：完整性、可实施性、针对性合理5<得分≤8分，完整性、可实施性、针对性较为合理1<得分≤5分，不合理或不提供得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项目配备人员</w:t>
            </w:r>
          </w:p>
        </w:tc>
        <w:tc>
          <w:tcPr>
            <w:tcW w:type="dxa" w:w="2492"/>
          </w:tcPr>
          <w:p>
            <w:pPr>
              <w:pStyle w:val="null3"/>
            </w:pPr>
            <w:r>
              <w:rPr>
                <w:rFonts w:ascii="仿宋_GB2312" w:hAnsi="仿宋_GB2312" w:cs="仿宋_GB2312" w:eastAsia="仿宋_GB2312"/>
              </w:rPr>
              <w:t>评审内容 投标人提供针对本项目的管理制度，方案内容包含：①人员配备：具有相关专业工程师证及以上证件。②岗位职责：包含岗位工作标准、服务质量标准等；③人员管理制度：包含奖惩制度、管理制度、会议制度等； 评审标准 1、完整性：方案须详细全面，表述清晰完整，完全满足招标文件要求； 2、可实施性：切合本项目实际情况，实施步骤清晰、合理； 3、针对性：方案能够紧扣项目实际情况，内容科学合理。 赋分标准（满分25分） ①人员配备：拟派项目负责人具有相关专业高级及以上技术职称，得3分，提供不全或不提供不得分。 项目团队人员具有测绘、遥感、地理信息、规划相关专业中级及以上技术职称人员，每有一个得1分，最多得10分。 ②岗位职责：完整性、可实施性、针对性清晰、合理、明确3&lt;得分≤6分，完整性、可实施性、针对性较为清晰、合理、明确1&lt;得分≤3分，不合理或不提供得0分； ③人员管理制度：整性、可实施性、针对性清晰、合理、明确3&lt;得分≤6分，完整性、可实施性、针对性较为清晰、合理、明确1&lt;得分≤3分，不合理或不提供得0分；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项目配备人员.docx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投标人每提供一项承诺得2分，满分10分｡ 1、投标人承诺发生紧急突发事件时，积极配合采购人工作，必要时增派人员。 2、投标人承诺人员调离时争得采购人同意。 3、投标人承诺有人员休假时，自行调配人员，保证各岗人员齐全。 4、投标人承诺服从采购人指挥和调度，遵守被服务单位的规章制度。 5、投标人承诺接受采购人对本项目服务的考核、监督及管理，定期调研采购人对服务质量的满意度并加以改进，确保服务工作的优质高效。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针对本项目的合理化建议，方案结合本项目的现状和可能出现的问题，提出合理可行的合理化建议以及实施思路。提出的合理化建议切实针对本项目，有前瞻性具有很好借鉴意义3&lt;得分≤5分；提出的合理化建议可行但并不具备借鉴意义1&lt;得分≤3分；提出的合理化建议有明显漏洞、不合理或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投标人应提供自2022年1月1日至今，以来类似业绩，每提供一项有效业绩证明材料得2.5分，最高得10分。(注：以合同签订时间为准，投标人应在投标文件中提供业绩合同复印件或扫描件且加盖单位公章。)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 投标人的价格分统一按照下列公式计算：投标报价得分=(评审基准价/经评审的投标价)×10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详见附件：服务计划.docx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详见附件：项目配备人员.docx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详见附件：法定代表人身份证明及法定代表人授权委托书.docx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详见附件：勘察设计合同.docx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