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版本号：ZCSP-乾县-2025-0033220251023001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乾县2025年度日常国土变更调查工作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ZCSP-乾县-2025-00332</w:t>
      </w:r>
      <w:r>
        <w:br/>
      </w:r>
      <w:r>
        <w:br/>
      </w:r>
      <w:r>
        <w:br/>
      </w:r>
    </w:p>
    <w:p>
      <w:pPr>
        <w:pStyle w:val="null3"/>
        <w:jc w:val="center"/>
        <w:outlineLvl w:val="2"/>
      </w:pPr>
      <w:r>
        <w:rPr>
          <w:rFonts w:ascii="仿宋_GB2312" w:hAnsi="仿宋_GB2312" w:cs="仿宋_GB2312" w:eastAsia="仿宋_GB2312"/>
          <w:sz w:val="28"/>
          <w:b/>
        </w:rPr>
        <w:t>乾县自然资源局</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乾县自然资源局</w:t>
      </w:r>
      <w:r>
        <w:rPr>
          <w:rFonts w:ascii="仿宋_GB2312" w:hAnsi="仿宋_GB2312" w:cs="仿宋_GB2312" w:eastAsia="仿宋_GB2312"/>
        </w:rPr>
        <w:t>委托，拟对</w:t>
      </w:r>
      <w:r>
        <w:rPr>
          <w:rFonts w:ascii="仿宋_GB2312" w:hAnsi="仿宋_GB2312" w:cs="仿宋_GB2312" w:eastAsia="仿宋_GB2312"/>
        </w:rPr>
        <w:t>乾县2025年度日常国土变更调查工作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ZCSP-乾县-2025-00332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乾县2025年度日常国土变更调查工作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在2024年度国土变更调查成果基础上，通过开展2025年度国土变更调查全面查清乾县国土利用现状及其年度变化情况，汇总形成以2025年12月31日为标准时点的年度全国国土变更调查成果，保障全国国土调查。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采购包1（乾县2025年度日常国土变更调查工作）：属于专门面向中小企业采购。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授权代表身份证明：供应商应授权合法的人员参加磋商全过程，其中法定代表人直接参加磋商的，须出具法定代表人身份证明及身份证复印件，并与营业执照上信息一致；法定代表人授权代表参加磋商的，须出具法定代表人授权书（附法定代表人身份证复印件）及被授权人身份证复印件。供应商需在项目电子化交易系统中按要求上传相应证明文件并进行电子签章。</w:t>
      </w:r>
    </w:p>
    <w:p>
      <w:pPr>
        <w:pStyle w:val="null3"/>
      </w:pPr>
      <w:r>
        <w:rPr>
          <w:rFonts w:ascii="仿宋_GB2312" w:hAnsi="仿宋_GB2312" w:cs="仿宋_GB2312" w:eastAsia="仿宋_GB2312"/>
        </w:rPr>
        <w:t>2、资质要求：供应商须具备行政主管部门颁发的测绘乙级及以上资质；供应商需在项目电子化交易系统中按要求上传相应证明文件并进行电子签章。</w:t>
      </w:r>
    </w:p>
    <w:p>
      <w:pPr>
        <w:pStyle w:val="null3"/>
      </w:pPr>
      <w:r>
        <w:rPr>
          <w:rFonts w:ascii="仿宋_GB2312" w:hAnsi="仿宋_GB2312" w:cs="仿宋_GB2312" w:eastAsia="仿宋_GB2312"/>
        </w:rPr>
        <w:t>3、信用记录：供应商不得在“信用中国”网站(http://www.creditchina.gov.cn)被列入失信被执行人、重大税收违法失信主体；不得在“中国政府采购网” (http://www.ccgp.gov.cn) 被列入政府采购严重违法失信行为记录名单。</w:t>
      </w:r>
    </w:p>
    <w:p>
      <w:pPr>
        <w:pStyle w:val="null3"/>
      </w:pPr>
      <w:r>
        <w:rPr>
          <w:rFonts w:ascii="仿宋_GB2312" w:hAnsi="仿宋_GB2312" w:cs="仿宋_GB2312" w:eastAsia="仿宋_GB2312"/>
        </w:rPr>
        <w:t>4、非联合体磋商： 提供非联合体参与磋商承诺书；供应商需在项目电子化交易系统中按要求上传相应证明文件并进行电子签章。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乾县东环北路8号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上宁波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13700200723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张禄洁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13720580162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采购包1：1,724,788.07元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国家发改委发改办价格〔2003〕857号文和国家发改委发改价格〔2011〕534号文规定的标准执行，按差额定率累进法收取费用；100万以下按1.5%收取；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乾县自然资源局</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1、成果要求 （1）遥感监测成果：包括遥感正射影像图、遥感监测图斑等。 （2）外业调查成果：包括外业调查图件、地物补测资料、图斑举证数据包(DB 格式)等。 （3）数据库成果：包括更新后的县级数据库、变更调查增量包(含增量信息与统计报表，由数据库质检软件打包生成)。 （4）各类报表：包括遥感监测图斑信息核实记录表、各级核查错误图斑列表(MDB 格式)、举证图斑信息表(MDB 格式)、各类统计汇总表等。 （5）文字成果：包括工作报告、技术报告等。 2、验收标准 满足采购人需求且符合现行国家及行业相关规范及标准。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联系人：张禄洁</w:t>
      </w:r>
    </w:p>
    <w:p>
      <w:pPr>
        <w:pStyle w:val="null3"/>
      </w:pPr>
      <w:r>
        <w:rPr>
          <w:rFonts w:ascii="仿宋_GB2312" w:hAnsi="仿宋_GB2312" w:cs="仿宋_GB2312" w:eastAsia="仿宋_GB2312"/>
        </w:rPr>
        <w:t>联系电话：029-88861150</w:t>
      </w:r>
    </w:p>
    <w:p>
      <w:pPr>
        <w:pStyle w:val="null3"/>
      </w:pPr>
      <w:r>
        <w:rPr>
          <w:rFonts w:ascii="仿宋_GB2312" w:hAnsi="仿宋_GB2312" w:cs="仿宋_GB2312" w:eastAsia="仿宋_GB2312"/>
        </w:rPr>
        <w:t>地址：西安市高新区科技路创业广场B座1506</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在2024年度国土变更调查成果基础上，通过开展2025年度国土变更调查全面查清乾县国土利用现状及其年度变化情况，汇总形成以2025年12月31日为标准时点的年度全国国土变更调查成果，保障全国国土调查。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1,724,788.07</w:t>
      </w:r>
    </w:p>
    <w:p>
      <w:pPr>
        <w:pStyle w:val="null3"/>
      </w:pPr>
      <w:r>
        <w:rPr>
          <w:rFonts w:ascii="仿宋_GB2312" w:hAnsi="仿宋_GB2312" w:cs="仿宋_GB2312" w:eastAsia="仿宋_GB2312"/>
        </w:rPr>
        <w:t>采购包最高限价（元）: 1,724,788.07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2025年度日常国土变更调查工作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1,724,788.07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标的名称：2025年度日常国土变更调查工作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rPr>
              <w:t>一、采购项目基本情况</w:t>
            </w:r>
          </w:p>
          <w:p>
            <w:pPr>
              <w:pStyle w:val="null3"/>
              <w:ind w:firstLine="562"/>
            </w:pPr>
            <w:r>
              <w:rPr>
                <w:rFonts w:ascii="仿宋_GB2312" w:hAnsi="仿宋_GB2312" w:cs="仿宋_GB2312" w:eastAsia="仿宋_GB2312"/>
              </w:rPr>
              <w:t>（一）采购项目概况：</w:t>
            </w:r>
            <w:r>
              <w:rPr>
                <w:rFonts w:ascii="仿宋_GB2312" w:hAnsi="仿宋_GB2312" w:cs="仿宋_GB2312" w:eastAsia="仿宋_GB2312"/>
              </w:rPr>
              <w:t>根据自然资源调查监测、耕地保护、督察执法、用途管制、生态修复等工作需要，对年底前稳定的地类变化等及时更新，是变更调查工作的常态化开展模式。依据部实施方案、技术要求及省级实施细则，利用“国土调查云”平台，开展日常变更调查工作。对日常变更中发现的图斑要“走到、看到、问到、划到”，核实确认图斑地类，调绘图斑边界，记录更新图斑权属、各类属性信息及单独图层变化情况；对影像未能反映的新增地物进行补测和调查。充分利用城市国土空间监测、地籍调查和不动产登记等成果，对城镇村庄内部土地利用现状二级地类进行调查更新。对于各类项目管理涉及的日常变更调查结果，可按照“完成一个项目，上报一个项目”或“完成一批，报送一批”的模式制作增量包；对其他非项目管理涉及的日常变更调查结果，按照“完成一批，报送一批”的模式制作增量包。</w:t>
            </w:r>
          </w:p>
          <w:p>
            <w:pPr>
              <w:pStyle w:val="null3"/>
            </w:pPr>
            <w:r>
              <w:rPr>
                <w:rFonts w:ascii="仿宋_GB2312" w:hAnsi="仿宋_GB2312" w:cs="仿宋_GB2312" w:eastAsia="仿宋_GB2312"/>
              </w:rPr>
              <w:t xml:space="preserve">           （二）采购项目实施必要性论述：为保障国土变更调查成果的现势性和准确性，全面掌握年度国土利用的变化情况，更新国土调查数据库，形成年度国土变更调查成果，减轻年底集中变更举证的工作压力，切实维护我省国土调查成果的现势性和准确性，服务于自然资源日常管理，因此结合自然资源管理工作和实际情况，建立国土日常变更机制，按半年集中开展举证调查核实工作，并及时将通过国家审核确认的日常变更调查增量更新数据纳入省级数据库，保持调查监测成果现势性。</w:t>
            </w:r>
          </w:p>
          <w:p>
            <w:pPr>
              <w:pStyle w:val="null3"/>
            </w:pPr>
            <w:r>
              <w:rPr>
                <w:rFonts w:ascii="仿宋_GB2312" w:hAnsi="仿宋_GB2312" w:cs="仿宋_GB2312" w:eastAsia="仿宋_GB2312"/>
              </w:rPr>
              <w:t xml:space="preserve">           （三）采购项目实施依据：根据《自然资源部办公厅 国家林业和草原局办公室关于开展2025年度全国国土变更调查工作的通知》文件要求，在高质量完成年度国土变更调查工作的基础上，做好2025年日常国土变更调查。按照《中华人民共和国土地管理法》、《土地调查条例》及《土地调查条例实施办法》，开展2025年日常国土变更调查工作。</w:t>
            </w:r>
          </w:p>
          <w:p>
            <w:pPr>
              <w:pStyle w:val="null3"/>
            </w:pPr>
            <w:r>
              <w:rPr>
                <w:rFonts w:ascii="仿宋_GB2312" w:hAnsi="仿宋_GB2312" w:cs="仿宋_GB2312" w:eastAsia="仿宋_GB2312"/>
              </w:rPr>
              <w:t xml:space="preserve">          （四）采购项目需实现目标：在2024年度国土变更调查成果基础上，结合本年度部、省各类监测监管成果，通过实地调查、核查抽查等开展日常变更调查，通过数据汇总掌握本年度国土利用变化情况，更新各级国土调查成果，有效支撑自然资源“一张图”建设，为高质量发展和国土空间治理提供基础数据保障。</w:t>
            </w:r>
          </w:p>
          <w:p>
            <w:pPr>
              <w:pStyle w:val="null3"/>
            </w:pPr>
            <w:r>
              <w:rPr>
                <w:rFonts w:ascii="仿宋_GB2312" w:hAnsi="仿宋_GB2312" w:cs="仿宋_GB2312" w:eastAsia="仿宋_GB2312"/>
              </w:rPr>
              <w:t xml:space="preserve">         （五）服务期限：合同签订之日起270日历天</w:t>
            </w:r>
          </w:p>
          <w:p>
            <w:pPr>
              <w:pStyle w:val="null3"/>
            </w:pPr>
            <w:r>
              <w:rPr>
                <w:rFonts w:ascii="仿宋_GB2312" w:hAnsi="仿宋_GB2312" w:cs="仿宋_GB2312" w:eastAsia="仿宋_GB2312"/>
              </w:rPr>
              <w:t xml:space="preserve">         （六）服务地点：采购人指定地点</w:t>
            </w:r>
          </w:p>
          <w:p>
            <w:pPr>
              <w:pStyle w:val="null3"/>
            </w:pPr>
            <w:r>
              <w:rPr>
                <w:rFonts w:ascii="仿宋_GB2312" w:hAnsi="仿宋_GB2312" w:cs="仿宋_GB2312" w:eastAsia="仿宋_GB2312"/>
              </w:rPr>
              <w:t xml:space="preserve">         （七）服务质量标准：符合现行国家及行业相关规范及标准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both"/>
            </w:pPr>
            <w:r>
              <w:rPr>
                <w:rFonts w:ascii="仿宋_GB2312" w:hAnsi="仿宋_GB2312" w:cs="仿宋_GB2312" w:eastAsia="仿宋_GB2312"/>
                <w:b/>
              </w:rPr>
              <w:t>二、需执行的国家相关标准、行业标准、地方标准或者其他标准、规范标准</w:t>
            </w:r>
          </w:p>
          <w:p>
            <w:pPr>
              <w:pStyle w:val="null3"/>
              <w:ind w:firstLine="560"/>
            </w:pPr>
            <w:r>
              <w:rPr>
                <w:rFonts w:ascii="仿宋_GB2312" w:hAnsi="仿宋_GB2312" w:cs="仿宋_GB2312" w:eastAsia="仿宋_GB2312"/>
              </w:rPr>
              <w:t>1、《中华人民共和国土地管理法》（主席令[2004]第 28 号）；</w:t>
            </w:r>
          </w:p>
          <w:p>
            <w:pPr>
              <w:pStyle w:val="null3"/>
              <w:ind w:firstLine="560"/>
            </w:pPr>
            <w:r>
              <w:rPr>
                <w:rFonts w:ascii="仿宋_GB2312" w:hAnsi="仿宋_GB2312" w:cs="仿宋_GB2312" w:eastAsia="仿宋_GB2312"/>
              </w:rPr>
              <w:t>2、《土地调查条例》（国务院令第 518 号）；</w:t>
            </w:r>
          </w:p>
          <w:p>
            <w:pPr>
              <w:pStyle w:val="null3"/>
              <w:ind w:firstLine="560"/>
            </w:pPr>
            <w:r>
              <w:rPr>
                <w:rFonts w:ascii="仿宋_GB2312" w:hAnsi="仿宋_GB2312" w:cs="仿宋_GB2312" w:eastAsia="仿宋_GB2312"/>
              </w:rPr>
              <w:t>3、《土地调查条例实施办法》（2019 年 7 月 16 日第二次修正）；</w:t>
            </w:r>
          </w:p>
          <w:p>
            <w:pPr>
              <w:pStyle w:val="null3"/>
              <w:ind w:firstLine="560"/>
            </w:pPr>
            <w:r>
              <w:rPr>
                <w:rFonts w:ascii="仿宋_GB2312" w:hAnsi="仿宋_GB2312" w:cs="仿宋_GB2312" w:eastAsia="仿宋_GB2312"/>
              </w:rPr>
              <w:t>4、《国土调查数据库标准》（TD/T 1057-2020）；</w:t>
            </w:r>
          </w:p>
          <w:p>
            <w:pPr>
              <w:pStyle w:val="null3"/>
              <w:ind w:firstLine="560"/>
            </w:pPr>
            <w:r>
              <w:rPr>
                <w:rFonts w:ascii="仿宋_GB2312" w:hAnsi="仿宋_GB2312" w:cs="仿宋_GB2312" w:eastAsia="仿宋_GB2312"/>
              </w:rPr>
              <w:t>5、《国土变更调查技术规程》（2024 年度适用；</w:t>
            </w:r>
          </w:p>
          <w:p>
            <w:pPr>
              <w:pStyle w:val="null3"/>
              <w:ind w:firstLine="560"/>
            </w:pPr>
            <w:r>
              <w:rPr>
                <w:rFonts w:ascii="仿宋_GB2312" w:hAnsi="仿宋_GB2312" w:cs="仿宋_GB2312" w:eastAsia="仿宋_GB2312"/>
              </w:rPr>
              <w:t>6、《第三次全国土地调查技术规程》；</w:t>
            </w:r>
          </w:p>
          <w:p>
            <w:pPr>
              <w:pStyle w:val="null3"/>
              <w:ind w:firstLine="560"/>
            </w:pPr>
            <w:r>
              <w:rPr>
                <w:rFonts w:ascii="仿宋_GB2312" w:hAnsi="仿宋_GB2312" w:cs="仿宋_GB2312" w:eastAsia="仿宋_GB2312"/>
              </w:rPr>
              <w:t>7、</w:t>
            </w:r>
            <w:r>
              <w:rPr>
                <w:rFonts w:ascii="仿宋_GB2312" w:hAnsi="仿宋_GB2312" w:cs="仿宋_GB2312" w:eastAsia="仿宋_GB2312"/>
              </w:rPr>
              <w:t>《陕西省日常国土变更调查工作细则》</w:t>
            </w:r>
            <w:r>
              <w:rPr>
                <w:rFonts w:ascii="仿宋_GB2312" w:hAnsi="仿宋_GB2312" w:cs="仿宋_GB2312" w:eastAsia="仿宋_GB2312"/>
              </w:rPr>
              <w:t>；</w:t>
            </w:r>
          </w:p>
          <w:p>
            <w:pPr>
              <w:pStyle w:val="null3"/>
              <w:ind w:firstLine="560"/>
            </w:pPr>
            <w:r>
              <w:rPr>
                <w:rFonts w:ascii="仿宋_GB2312" w:hAnsi="仿宋_GB2312" w:cs="仿宋_GB2312" w:eastAsia="仿宋_GB2312"/>
              </w:rPr>
              <w:t>8</w:t>
            </w:r>
            <w:r>
              <w:rPr>
                <w:rFonts w:ascii="仿宋_GB2312" w:hAnsi="仿宋_GB2312" w:cs="仿宋_GB2312" w:eastAsia="仿宋_GB2312"/>
              </w:rPr>
              <w:t>、《陕西省自然资源厅关于开展</w:t>
            </w:r>
            <w:r>
              <w:rPr>
                <w:rFonts w:ascii="仿宋_GB2312" w:hAnsi="仿宋_GB2312" w:cs="仿宋_GB2312" w:eastAsia="仿宋_GB2312"/>
              </w:rPr>
              <w:t>2025 年自然资源监测工作的通知》（陕自然资调查发〔2025〕572 号）；</w:t>
            </w:r>
          </w:p>
          <w:p>
            <w:pPr>
              <w:pStyle w:val="null3"/>
              <w:jc w:val="both"/>
            </w:pPr>
            <w:r>
              <w:rPr>
                <w:rFonts w:ascii="仿宋_GB2312" w:hAnsi="仿宋_GB2312" w:cs="仿宋_GB2312" w:eastAsia="仿宋_GB2312"/>
              </w:rPr>
              <w:t xml:space="preserve">          9、《咸阳市自然资源局关于开展 2025 年自然资源监测工作的通知》（咸自资发〔2025〕110 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2"/>
              <w:jc w:val="both"/>
            </w:pPr>
            <w:r>
              <w:rPr>
                <w:rFonts w:ascii="仿宋_GB2312" w:hAnsi="仿宋_GB2312" w:cs="仿宋_GB2312" w:eastAsia="仿宋_GB2312"/>
                <w:b/>
              </w:rPr>
              <w:t>三、服务</w:t>
            </w:r>
            <w:r>
              <w:rPr>
                <w:rFonts w:ascii="仿宋_GB2312" w:hAnsi="仿宋_GB2312" w:cs="仿宋_GB2312" w:eastAsia="仿宋_GB2312"/>
                <w:b/>
              </w:rPr>
              <w:t>工作内容</w:t>
            </w:r>
          </w:p>
          <w:p>
            <w:pPr>
              <w:pStyle w:val="null3"/>
              <w:jc w:val="both"/>
            </w:pPr>
            <w:r>
              <w:rPr>
                <w:rFonts w:ascii="仿宋_GB2312" w:hAnsi="仿宋_GB2312" w:cs="仿宋_GB2312" w:eastAsia="仿宋_GB2312"/>
              </w:rPr>
              <w:t xml:space="preserve">    结合本地区各类项目实施、自然资源监测监管、以及各类督察整改等工作情况，对相关地类变化图斑进行分析研判，确定是否纳入日常国土变更调查。对于不涉及实地地类变化，或者实地地类虽发生变化，但年底前地类还可能发生新变化的，不纳入日常国土变更调查。对于拟变更图斑，自主上传至</w:t>
            </w:r>
            <w:r>
              <w:rPr>
                <w:rFonts w:ascii="仿宋_GB2312" w:hAnsi="仿宋_GB2312" w:cs="仿宋_GB2312" w:eastAsia="仿宋_GB2312"/>
              </w:rPr>
              <w:t>“</w:t>
            </w:r>
            <w:r>
              <w:rPr>
                <w:rFonts w:ascii="仿宋_GB2312" w:hAnsi="仿宋_GB2312" w:cs="仿宋_GB2312" w:eastAsia="仿宋_GB2312"/>
              </w:rPr>
              <w:t>陕西调查云平台</w:t>
            </w:r>
            <w:r>
              <w:rPr>
                <w:rFonts w:ascii="仿宋_GB2312" w:hAnsi="仿宋_GB2312" w:cs="仿宋_GB2312" w:eastAsia="仿宋_GB2312"/>
              </w:rPr>
              <w:t>”-“2025</w:t>
            </w:r>
            <w:r>
              <w:rPr>
                <w:rFonts w:ascii="仿宋_GB2312" w:hAnsi="仿宋_GB2312" w:cs="仿宋_GB2312" w:eastAsia="仿宋_GB2312"/>
              </w:rPr>
              <w:t>日常变更</w:t>
            </w:r>
            <w:r>
              <w:rPr>
                <w:rFonts w:ascii="仿宋_GB2312" w:hAnsi="仿宋_GB2312" w:cs="仿宋_GB2312" w:eastAsia="仿宋_GB2312"/>
              </w:rPr>
              <w:t>”</w:t>
            </w:r>
            <w:r>
              <w:rPr>
                <w:rFonts w:ascii="仿宋_GB2312" w:hAnsi="仿宋_GB2312" w:cs="仿宋_GB2312" w:eastAsia="仿宋_GB2312"/>
              </w:rPr>
              <w:t>相应模块（平台相应模块中已存在图斑无需再次上传），逐图斑进行外业实地调查核实举证后，按照数据库更新技术要求，生成日常变更数据包，逐级报送并开展县级、市级、省级、国家级核查。对于各类项目管理涉及的日常变更结果，可按照</w:t>
            </w:r>
            <w:r>
              <w:rPr>
                <w:rFonts w:ascii="仿宋_GB2312" w:hAnsi="仿宋_GB2312" w:cs="仿宋_GB2312" w:eastAsia="仿宋_GB2312"/>
              </w:rPr>
              <w:t>“</w:t>
            </w:r>
            <w:r>
              <w:rPr>
                <w:rFonts w:ascii="仿宋_GB2312" w:hAnsi="仿宋_GB2312" w:cs="仿宋_GB2312" w:eastAsia="仿宋_GB2312"/>
              </w:rPr>
              <w:t>完成一个项目，上报一个项目</w:t>
            </w:r>
            <w:r>
              <w:rPr>
                <w:rFonts w:ascii="仿宋_GB2312" w:hAnsi="仿宋_GB2312" w:cs="仿宋_GB2312" w:eastAsia="仿宋_GB2312"/>
              </w:rPr>
              <w:t>”</w:t>
            </w:r>
            <w:r>
              <w:rPr>
                <w:rFonts w:ascii="仿宋_GB2312" w:hAnsi="仿宋_GB2312" w:cs="仿宋_GB2312" w:eastAsia="仿宋_GB2312"/>
              </w:rPr>
              <w:t>或</w:t>
            </w:r>
            <w:r>
              <w:rPr>
                <w:rFonts w:ascii="仿宋_GB2312" w:hAnsi="仿宋_GB2312" w:cs="仿宋_GB2312" w:eastAsia="仿宋_GB2312"/>
              </w:rPr>
              <w:t>“</w:t>
            </w:r>
            <w:r>
              <w:rPr>
                <w:rFonts w:ascii="仿宋_GB2312" w:hAnsi="仿宋_GB2312" w:cs="仿宋_GB2312" w:eastAsia="仿宋_GB2312"/>
              </w:rPr>
              <w:t>完成一批，报送一批</w:t>
            </w:r>
            <w:r>
              <w:rPr>
                <w:rFonts w:ascii="仿宋_GB2312" w:hAnsi="仿宋_GB2312" w:cs="仿宋_GB2312" w:eastAsia="仿宋_GB2312"/>
              </w:rPr>
              <w:t>”</w:t>
            </w:r>
            <w:r>
              <w:rPr>
                <w:rFonts w:ascii="仿宋_GB2312" w:hAnsi="仿宋_GB2312" w:cs="仿宋_GB2312" w:eastAsia="仿宋_GB2312"/>
              </w:rPr>
              <w:t>的模式逐级报送；对其他非项目管理涉及的日常变更结果，按照</w:t>
            </w:r>
            <w:r>
              <w:rPr>
                <w:rFonts w:ascii="仿宋_GB2312" w:hAnsi="仿宋_GB2312" w:cs="仿宋_GB2312" w:eastAsia="仿宋_GB2312"/>
              </w:rPr>
              <w:t>“</w:t>
            </w:r>
            <w:r>
              <w:rPr>
                <w:rFonts w:ascii="仿宋_GB2312" w:hAnsi="仿宋_GB2312" w:cs="仿宋_GB2312" w:eastAsia="仿宋_GB2312"/>
              </w:rPr>
              <w:t>完成一批，报送一批</w:t>
            </w:r>
            <w:r>
              <w:rPr>
                <w:rFonts w:ascii="仿宋_GB2312" w:hAnsi="仿宋_GB2312" w:cs="仿宋_GB2312" w:eastAsia="仿宋_GB2312"/>
              </w:rPr>
              <w:t>”</w:t>
            </w:r>
            <w:r>
              <w:rPr>
                <w:rFonts w:ascii="仿宋_GB2312" w:hAnsi="仿宋_GB2312" w:cs="仿宋_GB2312" w:eastAsia="仿宋_GB2312"/>
              </w:rPr>
              <w:t>的模式逐级报送。依据相关资料可准确确定实地地类的图斑可不进行外业实地调查核实举证。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 xml:space="preserve">   四、付款方式：</w:t>
            </w:r>
          </w:p>
          <w:p>
            <w:pPr>
              <w:pStyle w:val="null3"/>
              <w:jc w:val="both"/>
            </w:pPr>
            <w:r>
              <w:rPr>
                <w:rFonts w:ascii="仿宋_GB2312" w:hAnsi="仿宋_GB2312" w:cs="仿宋_GB2312" w:eastAsia="仿宋_GB2312"/>
              </w:rPr>
              <w:t xml:space="preserve">   本项目经市、省、国家检查验收合格后，一次性付清。中标</w:t>
            </w:r>
            <w:r>
              <w:rPr>
                <w:rFonts w:ascii="仿宋_GB2312" w:hAnsi="仿宋_GB2312" w:cs="仿宋_GB2312" w:eastAsia="仿宋_GB2312"/>
              </w:rPr>
              <w:t>（成交）</w:t>
            </w:r>
            <w:r>
              <w:rPr>
                <w:rFonts w:ascii="仿宋_GB2312" w:hAnsi="仿宋_GB2312" w:cs="仿宋_GB2312" w:eastAsia="仿宋_GB2312"/>
              </w:rPr>
              <w:t>单位必须按国家有关财税规定开具发票。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562"/>
              <w:jc w:val="both"/>
            </w:pPr>
            <w:r>
              <w:rPr>
                <w:rFonts w:ascii="仿宋_GB2312" w:hAnsi="仿宋_GB2312" w:cs="仿宋_GB2312" w:eastAsia="仿宋_GB2312"/>
                <w:b/>
              </w:rPr>
              <w:t>五</w:t>
            </w:r>
            <w:r>
              <w:rPr>
                <w:rFonts w:ascii="仿宋_GB2312" w:hAnsi="仿宋_GB2312" w:cs="仿宋_GB2312" w:eastAsia="仿宋_GB2312"/>
                <w:b/>
              </w:rPr>
              <w:t>、验收标准</w:t>
            </w:r>
          </w:p>
          <w:p>
            <w:pPr>
              <w:pStyle w:val="null3"/>
              <w:ind w:firstLine="560"/>
              <w:jc w:val="both"/>
            </w:pPr>
            <w:r>
              <w:rPr>
                <w:rFonts w:ascii="仿宋_GB2312" w:hAnsi="仿宋_GB2312" w:cs="仿宋_GB2312" w:eastAsia="仿宋_GB2312"/>
              </w:rPr>
              <w:t>1、成果要求：</w:t>
            </w:r>
          </w:p>
          <w:p>
            <w:pPr>
              <w:pStyle w:val="null3"/>
              <w:ind w:firstLine="56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遥感监测成果：包括遥感正射影像图、遥感监测图斑</w:t>
            </w:r>
            <w:r>
              <w:rPr>
                <w:rFonts w:ascii="仿宋_GB2312" w:hAnsi="仿宋_GB2312" w:cs="仿宋_GB2312" w:eastAsia="仿宋_GB2312"/>
              </w:rPr>
              <w:t>等</w:t>
            </w:r>
            <w:r>
              <w:rPr>
                <w:rFonts w:ascii="仿宋_GB2312" w:hAnsi="仿宋_GB2312" w:cs="仿宋_GB2312" w:eastAsia="仿宋_GB2312"/>
              </w:rPr>
              <w:t>。</w:t>
            </w:r>
          </w:p>
          <w:p>
            <w:pPr>
              <w:pStyle w:val="null3"/>
              <w:ind w:firstLine="56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外业调查成果：包括外业调查图件、地物补测资料、图斑举证数据包</w:t>
            </w:r>
            <w:r>
              <w:rPr>
                <w:rFonts w:ascii="仿宋_GB2312" w:hAnsi="仿宋_GB2312" w:cs="仿宋_GB2312" w:eastAsia="仿宋_GB2312"/>
              </w:rPr>
              <w:t>(DB 格式)</w:t>
            </w:r>
            <w:r>
              <w:rPr>
                <w:rFonts w:ascii="仿宋_GB2312" w:hAnsi="仿宋_GB2312" w:cs="仿宋_GB2312" w:eastAsia="仿宋_GB2312"/>
              </w:rPr>
              <w:t>等</w:t>
            </w:r>
            <w:r>
              <w:rPr>
                <w:rFonts w:ascii="仿宋_GB2312" w:hAnsi="仿宋_GB2312" w:cs="仿宋_GB2312" w:eastAsia="仿宋_GB2312"/>
              </w:rPr>
              <w:t>。</w:t>
            </w:r>
          </w:p>
          <w:p>
            <w:pPr>
              <w:pStyle w:val="null3"/>
              <w:ind w:firstLine="56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数据库成果：包括更新后的县级数据库、变更调查增量包</w:t>
            </w:r>
            <w:r>
              <w:rPr>
                <w:rFonts w:ascii="仿宋_GB2312" w:hAnsi="仿宋_GB2312" w:cs="仿宋_GB2312" w:eastAsia="仿宋_GB2312"/>
              </w:rPr>
              <w:t>(含增量信息与统计报表，由数据库质检软件打包生成)。</w:t>
            </w:r>
          </w:p>
          <w:p>
            <w:pPr>
              <w:pStyle w:val="null3"/>
              <w:ind w:firstLine="560"/>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各类报表</w:t>
            </w:r>
            <w:r>
              <w:rPr>
                <w:rFonts w:ascii="仿宋_GB2312" w:hAnsi="仿宋_GB2312" w:cs="仿宋_GB2312" w:eastAsia="仿宋_GB2312"/>
              </w:rPr>
              <w:t>：</w:t>
            </w:r>
            <w:r>
              <w:rPr>
                <w:rFonts w:ascii="仿宋_GB2312" w:hAnsi="仿宋_GB2312" w:cs="仿宋_GB2312" w:eastAsia="仿宋_GB2312"/>
              </w:rPr>
              <w:t>包括遥感监测图斑信息核实记录表、各级核查错误图斑列表</w:t>
            </w:r>
            <w:r>
              <w:rPr>
                <w:rFonts w:ascii="仿宋_GB2312" w:hAnsi="仿宋_GB2312" w:cs="仿宋_GB2312" w:eastAsia="仿宋_GB2312"/>
              </w:rPr>
              <w:t>(MDB 格式)、举证图斑信息表(MDB 格式)、各类统计汇总表等。</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文字成果</w:t>
            </w:r>
            <w:r>
              <w:rPr>
                <w:rFonts w:ascii="仿宋_GB2312" w:hAnsi="仿宋_GB2312" w:cs="仿宋_GB2312" w:eastAsia="仿宋_GB2312"/>
              </w:rPr>
              <w:t>：</w:t>
            </w:r>
            <w:r>
              <w:rPr>
                <w:rFonts w:ascii="仿宋_GB2312" w:hAnsi="仿宋_GB2312" w:cs="仿宋_GB2312" w:eastAsia="仿宋_GB2312"/>
              </w:rPr>
              <w:t>包括工作报告、技术报告等。</w:t>
            </w:r>
          </w:p>
          <w:p>
            <w:pPr>
              <w:pStyle w:val="null3"/>
              <w:ind w:firstLine="560"/>
              <w:jc w:val="both"/>
            </w:pPr>
            <w:r>
              <w:rPr>
                <w:rFonts w:ascii="仿宋_GB2312" w:hAnsi="仿宋_GB2312" w:cs="仿宋_GB2312" w:eastAsia="仿宋_GB2312"/>
              </w:rPr>
              <w:t>2、验收标准：</w:t>
            </w:r>
          </w:p>
          <w:p>
            <w:pPr>
              <w:pStyle w:val="null3"/>
              <w:jc w:val="both"/>
            </w:pPr>
            <w:r>
              <w:rPr>
                <w:rFonts w:ascii="仿宋_GB2312" w:hAnsi="仿宋_GB2312" w:cs="仿宋_GB2312" w:eastAsia="仿宋_GB2312"/>
              </w:rPr>
              <w:t xml:space="preserve">          满足采购人需求且符合现行国家及行业相关规范及标准。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人员配备合理满足本项目各项需求，职责分工明确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合同签订之日起270日历天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1、成果要求 （1）遥感监测成果：包括遥感正射影像图、遥感监测图斑等。 （2）外业调查成果：包括外业调查图件、地物补测资料、图斑举证数据包(DB 格式)等。 （3）数据库成果：包括更新后的县级数据库、变更调查增量包(含增量信息与统计报表，由数据库质检软件打包生成)。 （4）各类报表：包括遥感监测图斑信息核实记录表、各级核查错误图斑列表(MDB 格式)、举证图斑信息表(MDB 格式)、各类统计汇总表等。 （5）文字成果：包括工作报告、技术报告等。 2、验收标准 满足采购人需求且符合现行国家及行业相关规范及标准。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本项目经市、省、国家检查验收合格后，一次性付清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与解决争议的方法：依据《中华人民共和国民法典》的相关条款和本合同约定，乙方未全面履行合同义务或拒绝继续履行合同义务，造成服务期延误或给甲方带来经济损失，甲方有权单方终止合同，并向乙方索赔。甲方违约的，应赔偿乙方的直接经济损失。在履行本合同期间若发生争议，甲、乙双方应友好协商解决。若协商不成，任何一方均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响应报价是供应商响应本项目要求的全部工作内容的价格体现，包括供应商完成本项目所需的人工费、设备费、管理费、利润和税金等全部费用。在提供服务的过程中的任何遗漏，均由成交供应商免费提供，采购人将不再支付任何费用。 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3、本项目落实政府采购政策：（1）《政府采购促进中小企业发展管理办法》（财库〔2020〕46号）；（2）《关于进一步加大政府采购支持中小企业力度的通知》（财库〔2022〕19号）；（3）《关于政府采购支持监狱企业发展有关问题的通知》（财库〔2014〕68号）；（4）《关于促进残疾人就业政府采购政策的通知》（财库〔2017〕141号）；（5）《财政部 发展改革委生态环境部市场监管总局关于调整优化节能产品、环境标志产品政府采购执行机制的通知》（财库〔2019〕9 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关于深入开展政府采购脱贫地区农副产品工作推进乡村产业振兴的实施意见》（财库〔2021〕20号）；（10）《陕西省财政厅关于加快推进我省中小企业政府采购信用融资工作的通知》（陕财办采〔2020〕15号）；（11）《陕西省财政厅关于印发陕西省中小企业政府采购信用融资办法》（陕财办采〔2018〕23号）；（12）《陕西省财政厅关于进一步加强政府绿色采购有关问题的通知》（陕财办采〔2021〕29号）；（13）《商品包装政府采购需求标准（试行）》和《快递包装政府采购需求标准（试行）》（财办库〔2020〕123号）；（14）《数据库政府采购需求标准（2023年版）》（财库〔2023〕35号）；（15）其他需要落实的政府采购政策。 4、中标（成交）供应商在中标（成交）结果公告发布后3个工作日内提供叁套纸质响应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1.1供应商应具有独立承担民事责任的能力，提供合法有效的营业执照；供应商需在项目电子化交易系统中按要求上传相应证明文件并进行电子签章。 1.2供应商提供2024年度经审计的财务审计报告；或提供磋商响应文件递交截止时间前三个月内基本存款账户银行出具的资信证明及基本存款账户银行相关证明资料；供应商需在项目电子化交易系统中按要求上传相应证明文件并进行电子签章。 1.3具有履行合同所必需的设备和专业技术能力书面声明函；供应商需在项目电子化交易系统中按要求上传相应证明文件并进行电子签章。 1.4供应商提供在本项目磋商响应文件递交截止时间前六个月内任意一个月的依法缴纳税收和社会保障资金的证明（依法免税或不需要缴纳社会保障资金的供应商，应提供相应文件证明其依法免税或不需要缴纳社会保障资金）；供应商需在项目电子化交易系统中按要求上传相应证明文件并进行电子签章。 1.5参加政府采购活动前3年内在经营活动中没有重大违法记录的书面声明；供应商需在项目电子化交易系统中按要求上传相应证明文件并进行电子签章。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及身份证复印件，并与营业执照上信息一致；法定代表人授权代表参加磋商的，须出具法定代表人授权书（附法定代表人身份证复印件）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供应商须具备行政主管部门颁发的测绘乙级及以上资质；供应商需在项目电子化交易系统中按要求上传相应证明文件并进行电子签章。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供应商不得在“信用中国”网站(http://www.creditchina.gov.cn)被列入失信被执行人、重大税收违法失信主体；不得在“中国政府采购网” (http://www.ccgp.gov.cn) 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 xml:space="preserve"> 提供非联合体参与磋商承诺书；供应商需在项目电子化交易系统中按要求上传相应证明文件并进行电子签章。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法定代表人身份证明书.docx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货币单位符合磋商文件要求，报价符合磋商文件填报要求，报价唯一，且没有超过采购预算或限价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法定代表人身份证明书.docx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法定代表人身份证明书.docx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w:t>
            </w:r>
          </w:p>
        </w:tc>
        <w:tc>
          <w:tcPr>
            <w:tcW w:type="dxa" w:w="3322"/>
          </w:tcPr>
          <w:p>
            <w:pPr>
              <w:pStyle w:val="null3"/>
            </w:pPr>
            <w:r>
              <w:rPr>
                <w:rFonts w:ascii="仿宋_GB2312" w:hAnsi="仿宋_GB2312" w:cs="仿宋_GB2312" w:eastAsia="仿宋_GB2312"/>
              </w:rPr>
              <w:t>完全理解并接受对合格供应商、合格服务的要求，实质性要求完全响应且没有负偏离，不能有任何采购人不能接受的附加条件</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对本项目需求的理解程度（包括项目背景、目的、任务、特点、意义等要求）。 ①有明确的项目背景； ②有清晰的工作目的； ③项目特点分析全面； ④项目意义分析全面； ⑤项目任务描述全面。 以上5项内容每项1分，切合本项目实际情况及采购要求，合理、可行、无缺陷得5分；评审内容缺一项扣1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进行评审，包含但不限于：①技术路线；②资料收集；③外业实地调查；④内业数据处理；⑤成果编制。以上5项内容每项5分，切合本项目实际情况及采购要求，合理、可行、无缺陷得25分；评审内容缺一项扣5分；每项内容中每有一处存在缺陷的扣1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项目提供有①重点、难点分析；②解决方案。以上2项内容每项3分，切合本项目实际情况及采购要求，合理、可行、无缺陷得6分；评审内容缺一项扣3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根据供应商对项目进度安排及措施进行评审，包括但不限于：①项目进度安排；②进度保证措施。以上2项内容每项3分，切合本项目实际情况及采购要求，合理、可行、无缺陷得6分；评审内容缺一项扣3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根据供应商提供的质量控制进行评分，包含但不限于：①质量保证体系；②质量保证措施等。以上2项内容每项3分，切合本项目实际情况及采购要求，合理、可行、无缺陷得6分；评审内容缺一项扣3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针对本项目有安全保密措施，包括但不限于①档案管理措施；②数据及成果安全保密措施。以上2项内容每项3分，切合本项目实际情况及采购要求，合理、可行、无缺陷得6分；评审内容缺一项扣3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后续服务方案包含但不限于：①后续服务响应时间和后续服务方案；②后续服务机构与人员配置。以上2项内容每项2分，切合本项目实际情况及采购要求，合理、可行、无缺陷得4分；评审内容缺一项扣2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拟投入本项目的仪器设备能满足工作要求，并投入无人机、GNSS接收机、全站仪等设备。满足项目实施要求，无缺陷得3分，每有一项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1、项目负责人：具有测绘及相关专业高级技术职称证书得2分；具有测绘及相关专业中级及以上技术职称证书或注册测绘师资格证书得1分；其他不得分。 2、拟派项目组成员（除项目负责人以外）具有测绘及相关专业技术职称证书或注册测绘师资格证书的，每有一人得1分，本项最多得8分。 注：以上人员不重复计分；提供人员相关证书证明材料，未提供不得分。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2022年1月1日至今承接过类似项目业绩，每提供一个业绩得3分，最高得9分； 注：以响应文件中加盖公章的合同协议书为准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价格分采用低价优先法计算，即满足竞争性磋商文件要求且最后报价最低的供应商的价格为评审基准价，其价格分为满分。其他供应商的价格分统一按照下列公式计算： 报价得分=（评审基准价/最后报价）×价格权值（即20%）×100（ 注：本项目为专门面向中小企业采购项目，不再执行价格评审优惠的扶持政策。）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