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版本号：QXZC-GK2025A00820251125001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乾县公安移动JWZD采购项目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QXZC-GK2025A008</w:t>
      </w:r>
      <w:r>
        <w:br/>
      </w:r>
      <w:r>
        <w:br/>
      </w:r>
      <w:r>
        <w:br/>
      </w:r>
    </w:p>
    <w:p>
      <w:pPr>
        <w:pStyle w:val="null3"/>
        <w:jc w:val="center"/>
        <w:outlineLvl w:val="2"/>
      </w:pPr>
      <w:r>
        <w:rPr>
          <w:rFonts w:ascii="仿宋_GB2312" w:hAnsi="仿宋_GB2312" w:cs="仿宋_GB2312" w:eastAsia="仿宋_GB2312"/>
          <w:sz w:val="28"/>
          <w:b/>
        </w:rPr>
        <w:t>乾县公安局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乾县公安局</w:t>
      </w:r>
      <w:r>
        <w:rPr>
          <w:rFonts w:ascii="仿宋_GB2312" w:hAnsi="仿宋_GB2312" w:cs="仿宋_GB2312" w:eastAsia="仿宋_GB2312"/>
        </w:rPr>
        <w:t>委托，拟对</w:t>
      </w:r>
      <w:r>
        <w:rPr>
          <w:rFonts w:ascii="仿宋_GB2312" w:hAnsi="仿宋_GB2312" w:cs="仿宋_GB2312" w:eastAsia="仿宋_GB2312"/>
        </w:rPr>
        <w:t>乾县公安移动JWZD采购项目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乾县公安移动JWZD采购项目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为进一步提升公安机关警务工作信息化、高效化水平，满足日常执法执勤中信息查询、现场取证、数据上传等核心工作需求，申请采购210部移动终端。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2、财务状况报告：财务状况报告：提供2024年度完整的财务审计报告或开标时间前三个月内基本账户银行出具的资信证明</w:t>
      </w:r>
    </w:p>
    <w:p>
      <w:pPr>
        <w:pStyle w:val="null3"/>
      </w:pPr>
      <w:r>
        <w:rPr>
          <w:rFonts w:ascii="仿宋_GB2312" w:hAnsi="仿宋_GB2312" w:cs="仿宋_GB2312" w:eastAsia="仿宋_GB2312"/>
        </w:rPr>
        <w:t>3、社会保障资金缴纳证明：提供截止至开标时间前6个月内任意一个月的社保缴纳凭据或社保机构开具的社会保险参保缴纳情况证明；（依法不需要缴纳社会保障资金的投标人应提供相关证明）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4、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6、设备证明：提供具有履行合同所必需的设备和专业技术能力的证明资料或承诺书</w:t>
      </w:r>
    </w:p>
    <w:p>
      <w:pPr>
        <w:pStyle w:val="null3"/>
      </w:pPr>
      <w:r>
        <w:rPr>
          <w:rFonts w:ascii="仿宋_GB2312" w:hAnsi="仿宋_GB2312" w:cs="仿宋_GB2312" w:eastAsia="仿宋_GB2312"/>
        </w:rPr>
        <w:t>7、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8、本项目不接受联合体投标：本项目不接受联合体投标、不允许分包、转包，单位负责人为同一人或者存在直接控股、管理关系的不同投标人，不得参加同一合同项下的政府采购活动。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乾县工业区靖庄路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13572792687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采购包1：1,938,090.00元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乾县公安局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联系人：许先生/王先生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为进一步提升公安机关警务工作信息化、高效化水平，满足日常执法执勤中信息查询、现场取证、数据上传等核心工作需求，申请采购210部移动终端。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1,938,090.00</w:t>
      </w:r>
    </w:p>
    <w:p>
      <w:pPr>
        <w:pStyle w:val="null3"/>
      </w:pPr>
      <w:r>
        <w:rPr>
          <w:rFonts w:ascii="仿宋_GB2312" w:hAnsi="仿宋_GB2312" w:cs="仿宋_GB2312" w:eastAsia="仿宋_GB2312"/>
        </w:rPr>
        <w:t>采购包最高限价（元）: 1,938,090.00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移动JWZD</w:t>
            </w:r>
          </w:p>
        </w:tc>
        <w:tc>
          <w:tcPr>
            <w:tcW w:type="dxa" w:w="831"/>
          </w:tcPr>
          <w:p>
            <w:pPr>
              <w:pStyle w:val="null3"/>
              <w:jc w:val="right"/>
            </w:pPr>
            <w:r>
              <w:rPr>
                <w:rFonts w:ascii="仿宋_GB2312" w:hAnsi="仿宋_GB2312" w:cs="仿宋_GB2312" w:eastAsia="仿宋_GB2312"/>
              </w:rPr>
              <w:t>210.00</w:t>
            </w:r>
          </w:p>
        </w:tc>
        <w:tc>
          <w:tcPr>
            <w:tcW w:type="dxa" w:w="831"/>
          </w:tcPr>
          <w:p>
            <w:pPr>
              <w:pStyle w:val="null3"/>
              <w:jc w:val="right"/>
            </w:pPr>
            <w:r>
              <w:rPr>
                <w:rFonts w:ascii="仿宋_GB2312" w:hAnsi="仿宋_GB2312" w:cs="仿宋_GB2312" w:eastAsia="仿宋_GB2312"/>
              </w:rPr>
              <w:t>1,938,090.00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标的名称：移动JWZD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3"/>
              <w:gridCol w:w="1492"/>
              <w:gridCol w:w="262"/>
              <w:gridCol w:w="182"/>
              <w:gridCol w:w="217"/>
              <w:gridCol w:w="253"/>
            </w:tblGrid>
            <w:tr>
              <w:tc>
                <w:tcPr>
                  <w:tcW w:type="dxa" w:w="2549"/>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乾县公安局移动JWZD采购项目参数及报价</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w:t>
                  </w:r>
                  <w:r>
                    <w:br/>
                  </w:r>
                  <w:r>
                    <w:rPr>
                      <w:rFonts w:ascii="仿宋_GB2312" w:hAnsi="仿宋_GB2312" w:cs="仿宋_GB2312" w:eastAsia="仿宋_GB2312"/>
                      <w:sz w:val="24"/>
                      <w:b/>
                      <w:color w:val="000000"/>
                    </w:rPr>
                    <w:t xml:space="preserve"> 类型</w:t>
                  </w:r>
                </w:p>
              </w:tc>
              <w:tc>
                <w:tcPr>
                  <w:tcW w:type="dxa" w:w="1492"/>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终端参数</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共计</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143"/>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北斗定位业务手持机</w:t>
                  </w:r>
                </w:p>
              </w:tc>
              <w:tc>
                <w:tcPr>
                  <w:tcW w:type="dxa" w:w="149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操作系统：Android14.0以上或者HarmonyOS 4.0或者行业定制版MagicOS8.0或者鸿蒙双系统</w:t>
                  </w:r>
                </w:p>
              </w:tc>
              <w:tc>
                <w:tcPr>
                  <w:tcW w:type="dxa" w:w="26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210</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9229</w:t>
                  </w:r>
                </w:p>
              </w:tc>
              <w:tc>
                <w:tcPr>
                  <w:tcW w:type="dxa" w:w="2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1938090</w:t>
                  </w:r>
                </w:p>
              </w:tc>
              <w:tc>
                <w:tcPr>
                  <w:tcW w:type="dxa" w:w="2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符合陕西公安定制系统</w:t>
                  </w: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CPU:≥八核  2.3GHz</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 xml:space="preserve">屏幕：≥2688*1216  6.69英寸     </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电池容量：≥4750mAh</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内存：≥12GB     存储：≥512GB</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摄像头：前置≥1300万像素 /后置≥5000万像素</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传感器：具有光感传感器等</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是否支持加密：是</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防护等级：≥IP53</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服务期限：保修1年以上</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r>
              <w:tc>
                <w:tcPr>
                  <w:tcW w:type="dxa" w:w="143"/>
                  <w:vMerge/>
                  <w:tcBorders>
                    <w:top w:val="single" w:color="000000" w:sz="4"/>
                    <w:left w:val="single" w:color="000000" w:sz="4"/>
                    <w:bottom w:val="single" w:color="000000" w:sz="4"/>
                    <w:right w:val="none" w:color="000000" w:sz="4"/>
                  </w:tcBorders>
                </w:tcPr>
                <w:p/>
              </w:tc>
              <w:tc>
                <w:tcPr>
                  <w:tcW w:type="dxa" w:w="14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所有手持机必须符合《政府采购名录》及《陕西省公安厅单北斗智能手机型移动警务终端名录》</w:t>
                  </w:r>
                </w:p>
              </w:tc>
              <w:tc>
                <w:tcPr>
                  <w:tcW w:type="dxa" w:w="262"/>
                  <w:vMerge/>
                  <w:tcBorders>
                    <w:top w:val="single" w:color="000000" w:sz="4"/>
                    <w:left w:val="non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陕西省咸阳市乾县公安局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中标方提前向乾县公安局递交验收申请，准备项目合同、供货清单（含所有产品的说明书、操作手册、合格证等）、验收报告。由乾县公安局根据招标文件、投标文件、供货清单及质量要求验收中标方交付的货物的产地、规格、型号和数量、包装等是否符合要求、是否符合验收条件，提出验收意见；收集汇总所有验收资料。 验收标准：按招标文件、投标文件及澄清函、项目考核情况等综合指标进行验收。各项指标均应符合验收标准及要求。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保修1年以上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人未按合同要求提供货物与服务或货物与服务质量不能满足合同要求，且在规定时间内未使采购人满意的，采购人有权在对其支付的货物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提供截止至开标时间前6个月内任意一个月的社保缴纳凭据或社保机构开具的社会保险参保缴纳情况证明；（依法不需要缴纳社会保障资金的投标人应提供相关证明）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设备证明</w:t>
            </w:r>
          </w:p>
        </w:tc>
        <w:tc>
          <w:tcPr>
            <w:tcW w:type="dxa" w:w="3322"/>
          </w:tcPr>
          <w:p>
            <w:pPr>
              <w:pStyle w:val="null3"/>
            </w:pPr>
            <w:r>
              <w:rPr>
                <w:rFonts w:ascii="仿宋_GB2312" w:hAnsi="仿宋_GB2312" w:cs="仿宋_GB2312" w:eastAsia="仿宋_GB2312"/>
              </w:rPr>
              <w:t>提供具有履行合同所必需的设备和专业技术能力的证明资料或承诺书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本项目不接受联合体投标、不允许分包、转包，单位负责人为同一人或者存在直接控股、管理关系的不同投标人，不得参加同一合同项下的政府采购活动。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技术分</w:t>
            </w:r>
          </w:p>
        </w:tc>
        <w:tc>
          <w:tcPr>
            <w:tcW w:type="dxa" w:w="2492"/>
          </w:tcPr>
          <w:p>
            <w:pPr>
              <w:pStyle w:val="null3"/>
            </w:pPr>
            <w:r>
              <w:rPr>
                <w:rFonts w:ascii="仿宋_GB2312" w:hAnsi="仿宋_GB2312" w:cs="仿宋_GB2312" w:eastAsia="仿宋_GB2312"/>
              </w:rPr>
              <w:t>完全符合、满足招标文件技术参数要求的，计20分，技术指标每有一条负偏离扣3分，本项分扣完为止。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招标文件对交货期、质保期、付款方式、验收等商务要求进行详细说明，完全响应招标文件的计2分，交货期、质保期两项优于招标文件的，每项最多加1分。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供应商针对本项目制定项目实施方案，包括但不限于：备货、供货进度及保证措施，安全保障措施，应急处理措施，有针对本项目的配送人员和车辆、能够保证按时按量供货，保证正常供应。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1、完整性：方案内容完整全面，对上述各项内容均有描述及说明，得5分；不完整有缺失，得3分。 2、针对性：针对性强，得5分；针对性一般，得3分；缺乏针对性，得0分。 3、可实施性：可实施性强，得5分；可实施性一般，得3分；缺乏可实施性，得0分。 不提供此项的，不得分。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供应商针对本项目提供质量保证，包括但不限于：有良好的经营管理制度和质量保证体系，具备检测能力，检测设备齐全，检测手段完整，供应商有具体可行的质量保证承诺。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1、完整性：方案内容完整全面，对上述各项内容均有描述及说明，得3分；不完整有缺失，得1分。 2、针对性：针对性强，得3分；针对性一般，得1分；缺乏针对性，得0分。 3、可实施性：可实施性强，得2分；可实施性一般，得1分；缺乏可实施性，得0分。 不提供此项的，不得分。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供应商针对本项目提供履约能力证明，包括但不限于：履约能力承诺详细、具体,包括资金筹措、仓储设施、人员素质、管理水平等方面。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1、完整性：方案内容完整全面，对上述各项内容均有描述及说明，得3分；不完整有缺失，得1分。 2、针对性：针对性强，得2分；针对性一般，得1分；缺乏针对性，得0分。 3、可实施性：可实施性强，得2分；可实施性一般，得1分；缺乏可实施性，得0分。 不提供此项的，不得分。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提供2023年01月至今同类业绩（仅限于投标人自己实施的），每提供1份得2分，提供3份得6分。 注：提供合同复印件加盖公章。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供应商针对本项目提供具体可行的售后服务方案，包括但不限于：有售后服务网点的设定，拟投入售后服务人员配置情况，售后响应时间及措施，专业的技术咨询和指导等。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1、完整性：方案内容完整全面，对上述各项内容均有描述及说明，得4分；不完整有缺失，得2分。 2、针对性：针对性强，得3分；针对性一般，得1分；缺乏针对性，得0分。 3、可实施性：可实施性强，得3分；可实施性一般，得1分；缺乏可实施性，得0分。 不提供此项的，不得分。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投标单位的价格分统一按照下列公式计算：投标报价得分=(评标基准价／投标报价)×投标报价总分 （计算分数时四舍五入取小数点后两位）。 评审委员会发现某一供应商的最后报价明显低于其他供应商的最后报价，使得其报价可能低于其成本的，应当要求该供应商作出书面说明并提供相应的证明材料。供应商不能合理说明或者不能提供相应证明材料的，由评审委员会认定该供应商以低于成本报价竞标，其供应商的最后报价不予认可，作无效响应处理视为自动放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详见附件：物资类合同模板.docx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