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版本号：HJLGX-2025-2620251201001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乾县五峰山林场林下可燃物清理项目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HJLGX-2025-26</w:t>
      </w:r>
      <w:r>
        <w:br/>
      </w:r>
      <w:r>
        <w:br/>
      </w:r>
      <w:r>
        <w:br/>
      </w:r>
    </w:p>
    <w:p>
      <w:pPr>
        <w:pStyle w:val="null3"/>
        <w:jc w:val="center"/>
        <w:outlineLvl w:val="2"/>
      </w:pPr>
      <w:r>
        <w:rPr>
          <w:rFonts w:ascii="仿宋_GB2312" w:hAnsi="仿宋_GB2312" w:cs="仿宋_GB2312" w:eastAsia="仿宋_GB2312"/>
          <w:sz w:val="28"/>
          <w:b/>
        </w:rPr>
        <w:t>乾县五峰山国有生态林场</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乾县五峰山国有生态林场</w:t>
      </w:r>
      <w:r>
        <w:rPr>
          <w:rFonts w:ascii="仿宋_GB2312" w:hAnsi="仿宋_GB2312" w:cs="仿宋_GB2312" w:eastAsia="仿宋_GB2312"/>
        </w:rPr>
        <w:t>委托，拟对</w:t>
      </w:r>
      <w:r>
        <w:rPr>
          <w:rFonts w:ascii="仿宋_GB2312" w:hAnsi="仿宋_GB2312" w:cs="仿宋_GB2312" w:eastAsia="仿宋_GB2312"/>
        </w:rPr>
        <w:t>乾县五峰山林场林下可燃物清理项目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HJLGX-2025-26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乾县五峰山林场林下可燃物清理项目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乾县五峰山林场林下可燃物清理项目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采购包1（乾县五峰山林场林下可燃物清理项目）：属于专门面向中小企业采购。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财务状况报告：提供2023年或2024年财务审计报告（成立时间至开标时间不足一年的可提供成立后任意时段的资产负债表）或提供投标截止日期前三个月内其基本存款账户开户银行出具的资信证明；</w:t>
      </w:r>
    </w:p>
    <w:p>
      <w:pPr>
        <w:pStyle w:val="null3"/>
      </w:pPr>
      <w:r>
        <w:rPr>
          <w:rFonts w:ascii="仿宋_GB2312" w:hAnsi="仿宋_GB2312" w:cs="仿宋_GB2312" w:eastAsia="仿宋_GB2312"/>
        </w:rPr>
        <w:t>3、税收缴纳证明：税收缴纳证明：提供磋商截止日前一年内已缴纳的至少1个月的纳税证明或完税证明，依法免税的单位应提供相关证明材料；</w:t>
      </w:r>
    </w:p>
    <w:p>
      <w:pPr>
        <w:pStyle w:val="null3"/>
      </w:pPr>
      <w:r>
        <w:rPr>
          <w:rFonts w:ascii="仿宋_GB2312" w:hAnsi="仿宋_GB2312" w:cs="仿宋_GB2312" w:eastAsia="仿宋_GB2312"/>
        </w:rPr>
        <w:t>4、社会保障资金缴纳证明：社会保障资金缴纳证明：提供磋商截止时间前一年内至少1个月已缴存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信用记录：供应商不得被“信用中国”（www.creditchina.gov.cn）列入重大税收违法失信主体；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6、书面声明：提供近三年内在经营活动中无重大违法记录的书面声明；</w:t>
      </w:r>
    </w:p>
    <w:p>
      <w:pPr>
        <w:pStyle w:val="null3"/>
      </w:pPr>
      <w:r>
        <w:rPr>
          <w:rFonts w:ascii="仿宋_GB2312" w:hAnsi="仿宋_GB2312" w:cs="仿宋_GB2312" w:eastAsia="仿宋_GB2312"/>
        </w:rPr>
        <w:t>7、承诺：提供具有履行本合同所必需的设备和专业技术能力的说明及承诺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乾县五峰山国有生态林场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乾县峰阳镇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杜保权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13759705958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周佳奇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02981130660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采购包1：918,074.30元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开户名称：华建联项目管理有限公司西安高新分公司</w:t>
            </w:r>
          </w:p>
          <w:p>
            <w:pPr>
              <w:pStyle w:val="null3"/>
            </w:pPr>
            <w:r>
              <w:rPr>
                <w:rFonts w:ascii="仿宋_GB2312" w:hAnsi="仿宋_GB2312" w:cs="仿宋_GB2312" w:eastAsia="仿宋_GB2312"/>
              </w:rPr>
              <w:t>开户银行：招商银行股份有限公司西安锦业路支行</w:t>
            </w:r>
          </w:p>
          <w:p>
            <w:pPr>
              <w:pStyle w:val="null3"/>
            </w:pPr>
            <w:r>
              <w:rPr>
                <w:rFonts w:ascii="仿宋_GB2312" w:hAnsi="仿宋_GB2312" w:cs="仿宋_GB2312" w:eastAsia="仿宋_GB2312"/>
              </w:rPr>
              <w:t>银行账号：129917644010002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乾县五峰山国有生态林场</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乾县五峰山国有生态林场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乾县五峰山国有生态林场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以具体合同签订为准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联系人：周佳奇</w:t>
      </w:r>
    </w:p>
    <w:p>
      <w:pPr>
        <w:pStyle w:val="null3"/>
      </w:pPr>
      <w:r>
        <w:rPr>
          <w:rFonts w:ascii="仿宋_GB2312" w:hAnsi="仿宋_GB2312" w:cs="仿宋_GB2312" w:eastAsia="仿宋_GB2312"/>
        </w:rPr>
        <w:t>联系电话：02981130660</w:t>
      </w:r>
    </w:p>
    <w:p>
      <w:pPr>
        <w:pStyle w:val="null3"/>
      </w:pPr>
      <w:r>
        <w:rPr>
          <w:rFonts w:ascii="仿宋_GB2312" w:hAnsi="仿宋_GB2312" w:cs="仿宋_GB2312" w:eastAsia="仿宋_GB2312"/>
        </w:rPr>
        <w:t>地址：陕西省西安市碑林区西安市碑林区南二环东段561号，长安大街3号A座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乾县五峰山林场林下可燃物清理项目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918,074.30</w:t>
      </w:r>
    </w:p>
    <w:p>
      <w:pPr>
        <w:pStyle w:val="null3"/>
      </w:pPr>
      <w:r>
        <w:rPr>
          <w:rFonts w:ascii="仿宋_GB2312" w:hAnsi="仿宋_GB2312" w:cs="仿宋_GB2312" w:eastAsia="仿宋_GB2312"/>
        </w:rPr>
        <w:t>采购包最高限价（元）: 918,074.30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对林区主干道两侧、重点管护林区进行可燃物清理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918,074.30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标的名称：对林区主干道两侧、重点管护林区进行可燃物清理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一、作业区域</w:t>
            </w:r>
          </w:p>
          <w:p>
            <w:pPr>
              <w:pStyle w:val="null3"/>
            </w:pPr>
            <w:r>
              <w:rPr>
                <w:rFonts w:ascii="仿宋_GB2312" w:hAnsi="仿宋_GB2312" w:cs="仿宋_GB2312" w:eastAsia="仿宋_GB2312"/>
              </w:rPr>
              <w:t>云村至宝泉寺主干道两侧、宝泉寺林区、场部至柳树滩。作</w:t>
            </w:r>
            <w:r>
              <w:rPr>
                <w:rFonts w:ascii="仿宋_GB2312" w:hAnsi="仿宋_GB2312" w:cs="仿宋_GB2312" w:eastAsia="仿宋_GB2312"/>
              </w:rPr>
              <w:t>业面积2717亩。</w:t>
            </w:r>
          </w:p>
          <w:p>
            <w:pPr>
              <w:pStyle w:val="null3"/>
            </w:pPr>
            <w:r>
              <w:rPr>
                <w:rFonts w:ascii="仿宋_GB2312" w:hAnsi="仿宋_GB2312" w:cs="仿宋_GB2312" w:eastAsia="仿宋_GB2312"/>
              </w:rPr>
              <w:t>二、作业方式:人工作业。</w:t>
            </w:r>
          </w:p>
          <w:p>
            <w:pPr>
              <w:pStyle w:val="null3"/>
            </w:pPr>
            <w:r>
              <w:rPr>
                <w:rFonts w:ascii="仿宋_GB2312" w:hAnsi="仿宋_GB2312" w:cs="仿宋_GB2312" w:eastAsia="仿宋_GB2312"/>
              </w:rPr>
              <w:t>三、主要技术要求</w:t>
            </w:r>
          </w:p>
          <w:p>
            <w:pPr>
              <w:pStyle w:val="null3"/>
            </w:pPr>
            <w:r>
              <w:rPr>
                <w:rFonts w:ascii="仿宋_GB2312" w:hAnsi="仿宋_GB2312" w:cs="仿宋_GB2312" w:eastAsia="仿宋_GB2312"/>
              </w:rPr>
              <w:t>1、除草割灌</w:t>
            </w:r>
          </w:p>
          <w:p>
            <w:pPr>
              <w:pStyle w:val="null3"/>
            </w:pPr>
            <w:r>
              <w:rPr>
                <w:rFonts w:ascii="仿宋_GB2312" w:hAnsi="仿宋_GB2312" w:cs="仿宋_GB2312" w:eastAsia="仿宋_GB2312"/>
              </w:rPr>
              <w:t>全面清除林下杂草，同时砍除林分内的枯死木、病腐木、风</w:t>
            </w:r>
            <w:r>
              <w:rPr>
                <w:rFonts w:ascii="仿宋_GB2312" w:hAnsi="仿宋_GB2312" w:cs="仿宋_GB2312" w:eastAsia="仿宋_GB2312"/>
              </w:rPr>
              <w:t>折木等。侧柏修枝时要贴树干平切，油松修枝时宜采用留桩法，</w:t>
            </w:r>
            <w:r>
              <w:rPr>
                <w:rFonts w:ascii="仿宋_GB2312" w:hAnsi="仿宋_GB2312" w:cs="仿宋_GB2312" w:eastAsia="仿宋_GB2312"/>
              </w:rPr>
              <w:t>修枝时要留1cm-3cm的残桩，以免切口相连造成环状剥皮。全</w:t>
            </w:r>
            <w:r>
              <w:rPr>
                <w:rFonts w:ascii="仿宋_GB2312" w:hAnsi="仿宋_GB2312" w:cs="仿宋_GB2312" w:eastAsia="仿宋_GB2312"/>
              </w:rPr>
              <w:t>面或局部割灌除草，降低与林木生长争水的灌木密度，改善林木</w:t>
            </w:r>
            <w:r>
              <w:rPr>
                <w:rFonts w:ascii="仿宋_GB2312" w:hAnsi="仿宋_GB2312" w:cs="仿宋_GB2312" w:eastAsia="仿宋_GB2312"/>
              </w:rPr>
              <w:t>生长的营养空间，提高单株林木生长量，降低火灾发生率。清除</w:t>
            </w:r>
            <w:r>
              <w:rPr>
                <w:rFonts w:ascii="仿宋_GB2312" w:hAnsi="仿宋_GB2312" w:cs="仿宋_GB2312" w:eastAsia="仿宋_GB2312"/>
              </w:rPr>
              <w:t>妨碍林木生长的灌木、藤条和杂草，砍除枯立木、病腐木等。作</w:t>
            </w:r>
            <w:r>
              <w:rPr>
                <w:rFonts w:ascii="仿宋_GB2312" w:hAnsi="仿宋_GB2312" w:cs="仿宋_GB2312" w:eastAsia="仿宋_GB2312"/>
              </w:rPr>
              <w:t>业时应注意保护幼树、幼苗。根据林地灌木生长情况，将林木附</w:t>
            </w:r>
            <w:r>
              <w:rPr>
                <w:rFonts w:ascii="仿宋_GB2312" w:hAnsi="仿宋_GB2312" w:cs="仿宋_GB2312" w:eastAsia="仿宋_GB2312"/>
              </w:rPr>
              <w:t>近1米以内的灌木分步砍除，砍灌面积占林地面积的1/3-1/2.</w:t>
            </w:r>
            <w:r>
              <w:rPr>
                <w:rFonts w:ascii="仿宋_GB2312" w:hAnsi="仿宋_GB2312" w:cs="仿宋_GB2312" w:eastAsia="仿宋_GB2312"/>
              </w:rPr>
              <w:t>稀疏地段适度保留灌木。</w:t>
            </w:r>
          </w:p>
          <w:p>
            <w:pPr>
              <w:pStyle w:val="null3"/>
            </w:pPr>
            <w:r>
              <w:rPr>
                <w:rFonts w:ascii="仿宋_GB2312" w:hAnsi="仿宋_GB2312" w:cs="仿宋_GB2312" w:eastAsia="仿宋_GB2312"/>
              </w:rPr>
              <w:t>2、可燃物清理</w:t>
            </w:r>
          </w:p>
          <w:p>
            <w:pPr>
              <w:pStyle w:val="null3"/>
            </w:pPr>
            <w:r>
              <w:rPr>
                <w:rFonts w:ascii="仿宋_GB2312" w:hAnsi="仿宋_GB2312" w:cs="仿宋_GB2312" w:eastAsia="仿宋_GB2312"/>
              </w:rPr>
              <w:t>割掉的枯枝和砍除的枯死木、病腐木等应尽量运到林外加以</w:t>
            </w:r>
            <w:r>
              <w:rPr>
                <w:rFonts w:ascii="仿宋_GB2312" w:hAnsi="仿宋_GB2312" w:cs="仿宋_GB2312" w:eastAsia="仿宋_GB2312"/>
              </w:rPr>
              <w:t>利用;不能运出的应清理堆集，截成短节，坡度平缓处顺山坡进</w:t>
            </w:r>
            <w:r>
              <w:rPr>
                <w:rFonts w:ascii="仿宋_GB2312" w:hAnsi="仿宋_GB2312" w:cs="仿宋_GB2312" w:eastAsia="仿宋_GB2312"/>
              </w:rPr>
              <w:t>行归堆，在陡坡可沿等高线堆集，保持林内卫生。砍除的灌木、</w:t>
            </w:r>
            <w:r>
              <w:rPr>
                <w:rFonts w:ascii="仿宋_GB2312" w:hAnsi="仿宋_GB2312" w:cs="仿宋_GB2312" w:eastAsia="仿宋_GB2312"/>
              </w:rPr>
              <w:t>藤木、枯立木、病腐木等应尽量运出，不能运出的应将其截成短</w:t>
            </w:r>
            <w:r>
              <w:rPr>
                <w:rFonts w:ascii="仿宋_GB2312" w:hAnsi="仿宋_GB2312" w:cs="仿宋_GB2312" w:eastAsia="仿宋_GB2312"/>
              </w:rPr>
              <w:t>节，坡度平缓处顺山坡进行归堆，在陡坡可沿等高线堆集。堆的</w:t>
            </w:r>
            <w:r>
              <w:rPr>
                <w:rFonts w:ascii="仿宋_GB2312" w:hAnsi="仿宋_GB2312" w:cs="仿宋_GB2312" w:eastAsia="仿宋_GB2312"/>
              </w:rPr>
              <w:t>大小以不妨碍幼苗、幼树生长，并有利于水土保持为原则、火灾</w:t>
            </w:r>
            <w:r>
              <w:rPr>
                <w:rFonts w:ascii="仿宋_GB2312" w:hAnsi="仿宋_GB2312" w:cs="仿宋_GB2312" w:eastAsia="仿宋_GB2312"/>
              </w:rPr>
              <w:t>不易发生。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预付30%工程款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施工结束后经甲方验收合格后支付到工程款的65%</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审计决算后付清尾款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以具体合同签订为准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财务状况报告：提供2023年或2024年财务审计报告（成立时间至开标时间不足一年的可提供成立后任意时段的资产负债表）或提供投标截止日期前三个月内其基本存款账户开户银行出具的资信证明；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税收缴纳证明：提供磋商截止日前一年内已缴纳的至少1个月的纳税证明或完税证明，依法免税的单位应提供相关证明材料；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社会保障资金缴纳证明：提供磋商截止时间前一年内至少1个月已缴存的社会保障资金缴存单据或社保机构开具的社会保险参保缴费情况证明，依法不需要缴纳社会保障资金的供应商，应提供相关文件证明；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1.磋商响应文件上法定代表人或其授权代表人的签字齐全，加盖公章齐全；2.应符合“响应文件格式”要求；3.只能有一个有效报价，不得提交选择性报价，且报价不超过采购预算金额，不超过采购最高限价；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磋商响应文件内容齐全、无遗漏 (除评标因素外)</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1.要求全面响应，不能有任何采购人不能接受的附加条件；2.响应文件中服务期限应满足磋商文件中要求的服务期限； 3.磋商有效期应满足磋商文件中的规定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投标人根据采购需求提供服务方案。 方案内容丰富，详细记 15-20 分； 方案内容简短，有欠缺记 7-15 分； 方案内容缺漏，无法满足采购人需求记 0-7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生态保护措施</w:t>
            </w:r>
          </w:p>
        </w:tc>
        <w:tc>
          <w:tcPr>
            <w:tcW w:type="dxa" w:w="2492"/>
          </w:tcPr>
          <w:p>
            <w:pPr>
              <w:pStyle w:val="null3"/>
            </w:pPr>
            <w:r>
              <w:rPr>
                <w:rFonts w:ascii="仿宋_GB2312" w:hAnsi="仿宋_GB2312" w:cs="仿宋_GB2312" w:eastAsia="仿宋_GB2312"/>
              </w:rPr>
              <w:t>投标人根据采购需求提供生态保护措施，包含：1、表土保护2、水土保持3、避免破坏周边植被4、减少施工干扰5、垃圾废弃物回收处理。完全满足项目要求的得15分，每缺少一项扣3分，每有一项有缺陷的扣1.5分，扣完为止。缺陷是指：①描述的内容与本项目不匹配，②前后矛盾，③套用其他项目方案内容，④涉及的技术标准错误，⑤描述的内容与本项目无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护林防火与安全生产方案</w:t>
            </w:r>
          </w:p>
        </w:tc>
        <w:tc>
          <w:tcPr>
            <w:tcW w:type="dxa" w:w="2492"/>
          </w:tcPr>
          <w:p>
            <w:pPr>
              <w:pStyle w:val="null3"/>
            </w:pPr>
            <w:r>
              <w:rPr>
                <w:rFonts w:ascii="仿宋_GB2312" w:hAnsi="仿宋_GB2312" w:cs="仿宋_GB2312" w:eastAsia="仿宋_GB2312"/>
              </w:rPr>
              <w:t>投标人根据采购需求提供护林防火与安全生产方案，包含：1、防火措施2、现场作业安全规范3、劳动保护用品配备。完全满足项目要求的得15分，每缺少一项扣5分，每有一项有缺陷的扣2.5分，扣完为止。缺陷是指：①描述的内容与本项目不匹配，②前后矛盾，③套用其他项目方案内容，④涉及的技术标准错误，⑤描述的内容与本项目无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可燃物装车运输方案</w:t>
            </w:r>
          </w:p>
        </w:tc>
        <w:tc>
          <w:tcPr>
            <w:tcW w:type="dxa" w:w="2492"/>
          </w:tcPr>
          <w:p>
            <w:pPr>
              <w:pStyle w:val="null3"/>
            </w:pPr>
            <w:r>
              <w:rPr>
                <w:rFonts w:ascii="仿宋_GB2312" w:hAnsi="仿宋_GB2312" w:cs="仿宋_GB2312" w:eastAsia="仿宋_GB2312"/>
              </w:rPr>
              <w:t>投标人根据采购需求提供可燃物装车运输方案，包含：1、现场检查与清理2、装车操作规范3、运输方案。完全满足项目要求的得15分，每缺少一项扣5分，每有一项有缺陷的扣2.5分，扣完为止。缺陷是指：①描述的内容与本项目不匹配，②前后矛盾，③套用其他项目方案内容，④涉及的技术标准错误，⑤描述的内容与本项目无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投标人根据采购需求提供突发事件应急预案，包含：1、火灾2、地质灾害3、人员伤亡4、恶劣天气。完全满足项目要求的得10分，每缺少一项扣2.5分，每有一项有缺陷的扣1分，扣完为止。缺陷是指：①描述的内容与本项目不匹配，②前后矛盾，③套用其他项目方案内容，④涉及的技术标准错误，⑤描述的内容与本项目无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合理化建议：从积极意义、可行性、合理性等方面综合考虑，全面得5 分，不足得2分，未提供不得分。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项目服务团队人力资源配置合理、充足且分工明确得5分； 项目服务团队人力资源配置基本合理、满足项目需求且分工基本明确得3分；项目服务团队人力资源配置不合理、不能满足项目要求且分工不明确不得分；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供应商提供近三年2022年11月以来承接过同类项目合同，每提供一项证明材料（项目中标（成交）通知书或合同复印件）的得2.5分，最高的5分。 说明：提供的项目合同复印件中项目名称、签约时间、合同内容、合同金额、合同双方盖章页等配套证明材料。未提供或提供内容不符合磋商文件规定的不予计算。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价格分采用低价优先法计算，即满足磋商文件要求且磋商价格最低的磋商报价为评审基准价，其价格分为满分。其他供应商的价格分统一按照下列公式计算： 磋商报价得分=（评标基准价/磋商评审价）×10%×100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