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版本号：QXZC-GK2025A00620251107001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乾县2025年高标准农田建设农田地力提升项目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QXZC-GK2025A006</w:t>
      </w:r>
      <w:r>
        <w:br/>
      </w:r>
      <w:r>
        <w:br/>
      </w:r>
      <w:r>
        <w:br/>
      </w:r>
    </w:p>
    <w:p>
      <w:pPr>
        <w:pStyle w:val="null3"/>
        <w:jc w:val="center"/>
        <w:outlineLvl w:val="2"/>
      </w:pPr>
      <w:r>
        <w:rPr>
          <w:rFonts w:ascii="仿宋_GB2312" w:hAnsi="仿宋_GB2312" w:cs="仿宋_GB2312" w:eastAsia="仿宋_GB2312"/>
          <w:sz w:val="28"/>
          <w:b/>
        </w:rPr>
        <w:t>乾县农业农村局</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乾县农业农村局</w:t>
      </w:r>
      <w:r>
        <w:rPr>
          <w:rFonts w:ascii="仿宋_GB2312" w:hAnsi="仿宋_GB2312" w:cs="仿宋_GB2312" w:eastAsia="仿宋_GB2312"/>
        </w:rPr>
        <w:t>委托，拟对</w:t>
      </w:r>
      <w:r>
        <w:rPr>
          <w:rFonts w:ascii="仿宋_GB2312" w:hAnsi="仿宋_GB2312" w:cs="仿宋_GB2312" w:eastAsia="仿宋_GB2312"/>
        </w:rPr>
        <w:t>乾县2025年高标准农田建设农田地力提升项目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QXZC-GK2025A006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乾县2025年高标准农田建设农田地力提升项目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实施农田地力提升面积18630亩，每亩施有机肥140公斤，共需有机肥（有效活菌数≥0.2亿/g，有机质＞40%），含旋耕及施肥。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事业法人、其他组织或自然人。企业法人应提供合法有效的标识有统一社会信用代码的营业执照及2024年企业年度报告书；事业法人应提供事业单位法人证书；其他组织应提供合法登记证明文件；自然人应提供身份证；</w:t>
      </w:r>
    </w:p>
    <w:p>
      <w:pPr>
        <w:pStyle w:val="null3"/>
      </w:pPr>
      <w:r>
        <w:rPr>
          <w:rFonts w:ascii="仿宋_GB2312" w:hAnsi="仿宋_GB2312" w:cs="仿宋_GB2312" w:eastAsia="仿宋_GB2312"/>
        </w:rPr>
        <w:t>2、财务状况报告：提供2024年度完整的财务审计报告或开标时间前三个月内基本账户银行出具的资信证明，成立时间至提交投标文件递交截止时间不足一年的，须提供其基本存款账户开户银行近三个月内出具的银行资信证明或自成立以来的财务报表；</w:t>
      </w:r>
    </w:p>
    <w:p>
      <w:pPr>
        <w:pStyle w:val="null3"/>
      </w:pPr>
      <w:r>
        <w:rPr>
          <w:rFonts w:ascii="仿宋_GB2312" w:hAnsi="仿宋_GB2312" w:cs="仿宋_GB2312" w:eastAsia="仿宋_GB2312"/>
        </w:rPr>
        <w:t>3、资质条件：供应商为生产厂家时提供所投产品有效期内的肥料登记证（供应商为代理商时提供所投产品生产厂家产品有效期内的肥料登记证）</w:t>
      </w:r>
    </w:p>
    <w:p>
      <w:pPr>
        <w:pStyle w:val="null3"/>
      </w:pPr>
      <w:r>
        <w:rPr>
          <w:rFonts w:ascii="仿宋_GB2312" w:hAnsi="仿宋_GB2312" w:cs="仿宋_GB2312" w:eastAsia="仿宋_GB2312"/>
        </w:rPr>
        <w:t>4、社会保障资金缴纳证明：提供截止至开标时间前6个月内任意一个月的社保缴纳凭据或社保机构开具的社会保险参保缴纳情况证明；（依法不需要缴纳社会保障资金的投标人应提供相关证明）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法人身份证明或法定代表人授权书：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p>
      <w:pPr>
        <w:pStyle w:val="null3"/>
      </w:pPr>
      <w:r>
        <w:rPr>
          <w:rFonts w:ascii="仿宋_GB2312" w:hAnsi="仿宋_GB2312" w:cs="仿宋_GB2312" w:eastAsia="仿宋_GB2312"/>
        </w:rPr>
        <w:t>6、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7、书面声明：参加本次政府采购活动前3年内在经营活动中没有重大违纪的书面声明</w:t>
      </w:r>
    </w:p>
    <w:p>
      <w:pPr>
        <w:pStyle w:val="null3"/>
      </w:pPr>
      <w:r>
        <w:rPr>
          <w:rFonts w:ascii="仿宋_GB2312" w:hAnsi="仿宋_GB2312" w:cs="仿宋_GB2312" w:eastAsia="仿宋_GB2312"/>
        </w:rPr>
        <w:t>8、设备证明：提供具有履行合同所必需的设备和专业技术能力的证明资料或承诺书</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10、本项目不接受联合体投标：本项目不接受联合体投标、不允许分包、转包，单位负责人为同一人或者存在直接控股、管理关系的不同投标人，不得参加同一合同项下的政府采购活动。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陕西省咸阳市乾县文前巷1号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02935521661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乾县东新街财政局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王先生/许先生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采购包1：3,819,150.00元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乾县农业农村局</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验收须以合同、招标文件、投标文件及国家相关标准为依据。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联系人：王先生/许先生</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地址：乾县东新街财政局院内南一楼</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乾县2025年高标准农田建设农田地力提升项目，采购生物有机肥2608200kg，含旋耕+施肥。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3,819,150.00</w:t>
      </w:r>
    </w:p>
    <w:p>
      <w:pPr>
        <w:pStyle w:val="null3"/>
      </w:pPr>
      <w:r>
        <w:rPr>
          <w:rFonts w:ascii="仿宋_GB2312" w:hAnsi="仿宋_GB2312" w:cs="仿宋_GB2312" w:eastAsia="仿宋_GB2312"/>
        </w:rPr>
        <w:t>采购包最高限价（元）: 3,819,150.00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采购生物有机肥2608200kg，含旋耕+施肥。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3,819,150.00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标的名称：采购生物有机肥2608200kg，含旋耕+施肥。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jc w:val="both"/>
            </w:pP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符合国家标准</w:t>
            </w:r>
            <w:r>
              <w:rPr>
                <w:rFonts w:ascii="仿宋_GB2312" w:hAnsi="仿宋_GB2312" w:cs="仿宋_GB2312" w:eastAsia="仿宋_GB2312"/>
                <w:sz w:val="24"/>
                <w:color w:val="000000"/>
              </w:rPr>
              <w:t>NY884-2012《生物有机肥》标准；</w:t>
            </w:r>
          </w:p>
          <w:p>
            <w:pPr>
              <w:pStyle w:val="null3"/>
              <w:spacing w:before="90"/>
              <w:jc w:val="both"/>
            </w:pPr>
            <w:r>
              <w:rPr>
                <w:rFonts w:ascii="仿宋_GB2312" w:hAnsi="仿宋_GB2312" w:cs="仿宋_GB2312" w:eastAsia="仿宋_GB2312"/>
                <w:sz w:val="24"/>
                <w:color w:val="000000"/>
              </w:rPr>
              <w:t xml:space="preserve">  2、技术指标：</w:t>
            </w:r>
          </w:p>
          <w:p>
            <w:pPr>
              <w:pStyle w:val="null3"/>
              <w:ind w:firstLine="435"/>
              <w:jc w:val="center"/>
            </w:pPr>
            <w:r>
              <w:rPr>
                <w:rFonts w:ascii="仿宋_GB2312" w:hAnsi="仿宋_GB2312" w:cs="仿宋_GB2312" w:eastAsia="仿宋_GB2312"/>
                <w:sz w:val="24"/>
                <w:color w:val="000000"/>
              </w:rPr>
              <w:t>表</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生物有机肥</w:t>
            </w:r>
            <w:r>
              <w:rPr>
                <w:rFonts w:ascii="仿宋_GB2312" w:hAnsi="仿宋_GB2312" w:cs="仿宋_GB2312" w:eastAsia="仿宋_GB2312"/>
                <w:sz w:val="24"/>
                <w:color w:val="000000"/>
              </w:rPr>
              <w:t>产品技术指标要求</w:t>
            </w:r>
          </w:p>
          <w:tbl>
            <w:tblPr>
              <w:tblBorders>
                <w:top w:val="none" w:color="000000" w:sz="4"/>
                <w:left w:val="none" w:color="000000" w:sz="4"/>
                <w:bottom w:val="none" w:color="000000" w:sz="4"/>
                <w:right w:val="none" w:color="000000" w:sz="4"/>
                <w:insideH w:val="none"/>
                <w:insideV w:val="none"/>
              </w:tblBorders>
            </w:tblPr>
            <w:tblGrid>
              <w:gridCol w:w="1133"/>
              <w:gridCol w:w="568"/>
              <w:gridCol w:w="851"/>
            </w:tblGrid>
            <w:tr>
              <w:tc>
                <w:tcPr>
                  <w:tcW w:type="dxa" w:w="170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技术指标</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有效活菌数</w:t>
                  </w:r>
                  <w:r>
                    <w:rPr>
                      <w:rFonts w:ascii="仿宋_GB2312" w:hAnsi="仿宋_GB2312" w:cs="仿宋_GB2312" w:eastAsia="仿宋_GB2312"/>
                      <w:sz w:val="24"/>
                      <w:color w:val="000000"/>
                    </w:rPr>
                    <w:t>(cfu)</w:t>
                  </w:r>
                  <w:r>
                    <w:rPr>
                      <w:rFonts w:ascii="仿宋_GB2312" w:hAnsi="仿宋_GB2312" w:cs="仿宋_GB2312" w:eastAsia="仿宋_GB2312"/>
                      <w:sz w:val="24"/>
                      <w:color w:val="000000"/>
                    </w:rPr>
                    <w:t>，亿</w:t>
                  </w:r>
                  <w:r>
                    <w:rPr>
                      <w:rFonts w:ascii="仿宋_GB2312" w:hAnsi="仿宋_GB2312" w:cs="仿宋_GB2312" w:eastAsia="仿宋_GB2312"/>
                      <w:sz w:val="24"/>
                      <w:color w:val="000000"/>
                    </w:rPr>
                    <w:t>/g</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0.20</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有机质（以干基计），</w:t>
                  </w:r>
                  <w:r>
                    <w:rPr>
                      <w:rFonts w:ascii="仿宋_GB2312" w:hAnsi="仿宋_GB2312" w:cs="仿宋_GB2312" w:eastAsia="仿宋_GB2312"/>
                      <w:sz w:val="24"/>
                      <w:color w:val="000000"/>
                    </w:rPr>
                    <w:t>%</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水分，</w:t>
                  </w:r>
                  <w:r>
                    <w:rPr>
                      <w:rFonts w:ascii="仿宋_GB2312" w:hAnsi="仿宋_GB2312" w:cs="仿宋_GB2312" w:eastAsia="仿宋_GB2312"/>
                      <w:sz w:val="24"/>
                      <w:color w:val="000000"/>
                    </w:rPr>
                    <w:t>%</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30.0</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pH</w:t>
                  </w:r>
                  <w:r>
                    <w:rPr>
                      <w:rFonts w:ascii="仿宋_GB2312" w:hAnsi="仿宋_GB2312" w:cs="仿宋_GB2312" w:eastAsia="仿宋_GB2312"/>
                      <w:sz w:val="24"/>
                      <w:color w:val="000000"/>
                    </w:rPr>
                    <w:t>值</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5.5~8.5</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粪大肠菌群数，个</w:t>
                  </w:r>
                  <w:r>
                    <w:rPr>
                      <w:rFonts w:ascii="仿宋_GB2312" w:hAnsi="仿宋_GB2312" w:cs="仿宋_GB2312" w:eastAsia="仿宋_GB2312"/>
                      <w:sz w:val="24"/>
                      <w:color w:val="000000"/>
                    </w:rPr>
                    <w:t>/g</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蛔虫卵死亡率，</w:t>
                  </w:r>
                  <w:r>
                    <w:rPr>
                      <w:rFonts w:ascii="仿宋_GB2312" w:hAnsi="仿宋_GB2312" w:cs="仿宋_GB2312" w:eastAsia="仿宋_GB2312"/>
                      <w:sz w:val="24"/>
                      <w:color w:val="000000"/>
                    </w:rPr>
                    <w:t>%</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95</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有效期，月</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每亩使用量</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140公斤</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形态</w:t>
                  </w:r>
                </w:p>
              </w:tc>
              <w:tc>
                <w:tcPr>
                  <w:tcW w:type="dxa" w:w="14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松散的、颗粒状的深褐色或者黑色的无异</w:t>
                  </w:r>
                </w:p>
                <w:p>
                  <w:pPr>
                    <w:pStyle w:val="null3"/>
                    <w:jc w:val="left"/>
                  </w:pPr>
                  <w:r>
                    <w:rPr>
                      <w:rFonts w:ascii="仿宋_GB2312" w:hAnsi="仿宋_GB2312" w:cs="仿宋_GB2312" w:eastAsia="仿宋_GB2312"/>
                      <w:sz w:val="24"/>
                      <w:color w:val="000000"/>
                    </w:rPr>
                    <w:t>味的产品</w:t>
                  </w:r>
                </w:p>
              </w:tc>
            </w:tr>
          </w:tbl>
          <w:p>
            <w:pPr>
              <w:pStyle w:val="null3"/>
              <w:spacing w:before="90"/>
              <w:jc w:val="center"/>
            </w:pPr>
            <w:r>
              <w:rPr>
                <w:rFonts w:ascii="仿宋_GB2312" w:hAnsi="仿宋_GB2312" w:cs="仿宋_GB2312" w:eastAsia="仿宋_GB2312"/>
                <w:sz w:val="24"/>
                <w:color w:val="000000"/>
              </w:rPr>
              <w:t>表</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生物有机肥</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5</w:t>
            </w:r>
            <w:r>
              <w:rPr>
                <w:rFonts w:ascii="仿宋_GB2312" w:hAnsi="仿宋_GB2312" w:cs="仿宋_GB2312" w:eastAsia="仿宋_GB2312"/>
                <w:sz w:val="24"/>
                <w:color w:val="000000"/>
              </w:rPr>
              <w:t>种重金属限量技术要求</w:t>
            </w:r>
          </w:p>
          <w:tbl>
            <w:tblPr>
              <w:tblInd w:type="dxa" w:w="135"/>
              <w:tblBorders>
                <w:top w:val="none" w:color="000000" w:sz="4"/>
                <w:left w:val="none" w:color="000000" w:sz="4"/>
                <w:bottom w:val="none" w:color="000000" w:sz="4"/>
                <w:right w:val="none" w:color="000000" w:sz="4"/>
                <w:insideH w:val="none"/>
                <w:insideV w:val="none"/>
              </w:tblBorders>
            </w:tblPr>
            <w:tblGrid>
              <w:gridCol w:w="1260"/>
              <w:gridCol w:w="1287"/>
            </w:tblGrid>
            <w:tr>
              <w:tc>
                <w:tcPr>
                  <w:tcW w:type="dxa" w:w="1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限量指标</w:t>
                  </w:r>
                </w:p>
              </w:tc>
            </w:tr>
            <w:tr>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总砷（</w:t>
                  </w:r>
                  <w:r>
                    <w:rPr>
                      <w:rFonts w:ascii="仿宋_GB2312" w:hAnsi="仿宋_GB2312" w:cs="仿宋_GB2312" w:eastAsia="仿宋_GB2312"/>
                      <w:sz w:val="24"/>
                      <w:color w:val="000000"/>
                    </w:rPr>
                    <w:t>As</w:t>
                  </w:r>
                  <w:r>
                    <w:rPr>
                      <w:rFonts w:ascii="仿宋_GB2312" w:hAnsi="仿宋_GB2312" w:cs="仿宋_GB2312" w:eastAsia="仿宋_GB2312"/>
                      <w:sz w:val="24"/>
                      <w:color w:val="000000"/>
                    </w:rPr>
                    <w:t>）（以干基计）</w:t>
                  </w: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p>
              </w:tc>
            </w:tr>
            <w:tr>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总镉（</w:t>
                  </w:r>
                  <w:r>
                    <w:rPr>
                      <w:rFonts w:ascii="仿宋_GB2312" w:hAnsi="仿宋_GB2312" w:cs="仿宋_GB2312" w:eastAsia="仿宋_GB2312"/>
                      <w:sz w:val="24"/>
                      <w:color w:val="000000"/>
                    </w:rPr>
                    <w:t>Cd</w:t>
                  </w:r>
                  <w:r>
                    <w:rPr>
                      <w:rFonts w:ascii="仿宋_GB2312" w:hAnsi="仿宋_GB2312" w:cs="仿宋_GB2312" w:eastAsia="仿宋_GB2312"/>
                      <w:sz w:val="24"/>
                      <w:color w:val="000000"/>
                    </w:rPr>
                    <w:t>）（以干基计）</w:t>
                  </w: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p>
              </w:tc>
            </w:tr>
            <w:tr>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总铅（</w:t>
                  </w:r>
                  <w:r>
                    <w:rPr>
                      <w:rFonts w:ascii="仿宋_GB2312" w:hAnsi="仿宋_GB2312" w:cs="仿宋_GB2312" w:eastAsia="仿宋_GB2312"/>
                      <w:sz w:val="24"/>
                      <w:color w:val="000000"/>
                    </w:rPr>
                    <w:t>Pb</w:t>
                  </w:r>
                  <w:r>
                    <w:rPr>
                      <w:rFonts w:ascii="仿宋_GB2312" w:hAnsi="仿宋_GB2312" w:cs="仿宋_GB2312" w:eastAsia="仿宋_GB2312"/>
                      <w:sz w:val="24"/>
                      <w:color w:val="000000"/>
                    </w:rPr>
                    <w:t>）（以干基计）</w:t>
                  </w: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p>
              </w:tc>
            </w:tr>
            <w:tr>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总铬（</w:t>
                  </w:r>
                  <w:r>
                    <w:rPr>
                      <w:rFonts w:ascii="仿宋_GB2312" w:hAnsi="仿宋_GB2312" w:cs="仿宋_GB2312" w:eastAsia="仿宋_GB2312"/>
                      <w:sz w:val="24"/>
                      <w:color w:val="000000"/>
                    </w:rPr>
                    <w:t>Cr</w:t>
                  </w:r>
                  <w:r>
                    <w:rPr>
                      <w:rFonts w:ascii="仿宋_GB2312" w:hAnsi="仿宋_GB2312" w:cs="仿宋_GB2312" w:eastAsia="仿宋_GB2312"/>
                      <w:sz w:val="24"/>
                      <w:color w:val="000000"/>
                    </w:rPr>
                    <w:t>）（以干基计）</w:t>
                  </w: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150</w:t>
                  </w:r>
                </w:p>
              </w:tc>
            </w:tr>
            <w:tr>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总汞（</w:t>
                  </w:r>
                  <w:r>
                    <w:rPr>
                      <w:rFonts w:ascii="仿宋_GB2312" w:hAnsi="仿宋_GB2312" w:cs="仿宋_GB2312" w:eastAsia="仿宋_GB2312"/>
                      <w:sz w:val="24"/>
                      <w:color w:val="000000"/>
                    </w:rPr>
                    <w:t>Hg</w:t>
                  </w:r>
                  <w:r>
                    <w:rPr>
                      <w:rFonts w:ascii="仿宋_GB2312" w:hAnsi="仿宋_GB2312" w:cs="仿宋_GB2312" w:eastAsia="仿宋_GB2312"/>
                      <w:sz w:val="24"/>
                      <w:color w:val="000000"/>
                    </w:rPr>
                    <w:t>）（以干基计）</w:t>
                  </w: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合同签订后，监理下发供货通知时间起60日内。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陕西省乾县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合同签订支付40%预付款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安排将合同规定的生物有机肥发送到指定的地点，并完成旋耕施肥后，提供各类有效证明资料齐全，经甲方会同相关部门抽检，在项目质量检测结果出具后，乙方向甲方提供正规发票，在无索赔争议的情况下，甲方支付总货款的97%</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待项目质保期满后3%的质量保证金一次性付清。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产品的品种（NY884-2012）、型号、规格和数量符合合同约定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货款结算完成后，半年内化肥促进农作物生长情况达到业主要求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甲乙双方在履行合同时发生争议的，应协商解决。协商不成的，双方约定将争议提交仲裁委员会进行仲裁。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1、本项目所属行业：其他未列明行业。 2、成交人在领取成交通知书时提供一正一副纸质招标响应文件，纸质招标响应文件采用书籍（胶装）方式装订成册，与电子招标响应文件一致的签字、盖章的完整版本。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事业法人、其他组织或自然人。企业法人应提供合法有效的标识有统一社会信用代码的营业执照及2024年企业年度报告书；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成立时间至提交投标文件递交截止时间不足一年的，须提供其基本存款账户开户银行近三个月内出具的银行资信证明或自成立以来的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供应商为生产厂家时提供所投产品有效期内的肥料登记证（供应商为代理商时提供所投产品生产厂家产品有效期内的肥料登记证）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提供截止至开标时间前6个月内任意一个月的社保缴纳凭据或社保机构开具的社会保险参保缴纳情况证明；（依法不需要缴纳社会保障资金的投标人应提供相关证明）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设备证明</w:t>
            </w:r>
          </w:p>
        </w:tc>
        <w:tc>
          <w:tcPr>
            <w:tcW w:type="dxa" w:w="3322"/>
          </w:tcPr>
          <w:p>
            <w:pPr>
              <w:pStyle w:val="null3"/>
            </w:pPr>
            <w:r>
              <w:rPr>
                <w:rFonts w:ascii="仿宋_GB2312" w:hAnsi="仿宋_GB2312" w:cs="仿宋_GB2312" w:eastAsia="仿宋_GB2312"/>
              </w:rPr>
              <w:t>提供具有履行合同所必需的设备和专业技术能力的证明资料或承诺书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本项目不接受联合体投标、不允许分包、转包，单位负责人为同一人或者存在直接控股、管理关系的不同投标人，不得参加同一合同项下的政府采购活动。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除明确允许供应商可以自行编写的外，招标响应文件应按照招标文件给定的格式编制。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投标响应文件封面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供应商名称应与获取招标文件的单位名称一致。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投标响应文件封面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招标响应文件应按照招标文件的要求盖章签字。</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投标响应文件封面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投标有效期应符合招标文件的要求。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对招标文件商务要求作了明确且实质性响应。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技术要求响应</w:t>
            </w:r>
          </w:p>
        </w:tc>
        <w:tc>
          <w:tcPr>
            <w:tcW w:type="dxa" w:w="3322"/>
          </w:tcPr>
          <w:p>
            <w:pPr>
              <w:pStyle w:val="null3"/>
            </w:pPr>
            <w:r>
              <w:rPr>
                <w:rFonts w:ascii="仿宋_GB2312" w:hAnsi="仿宋_GB2312" w:cs="仿宋_GB2312" w:eastAsia="仿宋_GB2312"/>
              </w:rPr>
              <w:t>对招标文件技术要求作了明确且实质性响应。</w:t>
            </w:r>
          </w:p>
        </w:tc>
        <w:tc>
          <w:tcPr>
            <w:tcW w:type="dxa" w:w="1661"/>
          </w:tcPr>
          <w:p>
            <w:pPr>
              <w:pStyle w:val="null3"/>
            </w:pPr>
            <w:r>
              <w:rPr>
                <w:rFonts w:ascii="仿宋_GB2312" w:hAnsi="仿宋_GB2312" w:cs="仿宋_GB2312" w:eastAsia="仿宋_GB2312"/>
              </w:rPr>
              <w:t>产品技术参数表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技术分</w:t>
            </w:r>
          </w:p>
        </w:tc>
        <w:tc>
          <w:tcPr>
            <w:tcW w:type="dxa" w:w="2492"/>
          </w:tcPr>
          <w:p>
            <w:pPr>
              <w:pStyle w:val="null3"/>
            </w:pPr>
            <w:r>
              <w:rPr>
                <w:rFonts w:ascii="仿宋_GB2312" w:hAnsi="仿宋_GB2312" w:cs="仿宋_GB2312" w:eastAsia="仿宋_GB2312"/>
              </w:rPr>
              <w:t>完全符合、满足招标文件技术参数要求的，计20分，技术指标每有一条负偏离扣3分，本项分扣完为止。 供应商应提供充足的佐证材料（佐证材料包括但不限于：产品彩页、检测报告、官网截图等证明材料）予以佐证，佐证材料应编制在磋商响应文件中，供应商自行承担因佐证材料不全而被视为技术参数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商务分</w:t>
            </w:r>
          </w:p>
        </w:tc>
        <w:tc>
          <w:tcPr>
            <w:tcW w:type="dxa" w:w="2492"/>
          </w:tcPr>
          <w:p>
            <w:pPr>
              <w:pStyle w:val="null3"/>
            </w:pPr>
            <w:r>
              <w:rPr>
                <w:rFonts w:ascii="仿宋_GB2312" w:hAnsi="仿宋_GB2312" w:cs="仿宋_GB2312" w:eastAsia="仿宋_GB2312"/>
              </w:rPr>
              <w:t>招标文件对交货期、质保期、付款方式、验收等商务要求进行详细说明，完全响应招标文件的计2分，交货期、质保期两项优于招标文件的，每项最多加1分。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项目实施方案：备货、供货进度及保证措施，安全保障措施，应急处理措施，有针对本项目的配送人员和车辆、配送路线，能够保证按时按量供货，保证化肥正常供应。 ①方案内容完整、全面、详细的经比较计10-15分； ②方案内容有1到3项欠缺、较薄弱的经比较计分5-10分； ③方案内容有3项以上严重欠缺、薄弱的经比较计分1-5分； ④未提供项目实施方案不计分。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生产企业有良好的经营管理制度和质量保证体系，有良好的原辅料采购体系和安全的化肥制作工艺流程，具备检测能力，检测设备齐全，检测手段完整，供应商有具体可行的质量保证承诺。 ①内容具体、完整、详细、全面的经比较计4-8分； ②内容有1到3项欠缺、薄弱的经比较计1-4分； ③未提供质量保证及与质量保证有关内容的不计分。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履约能力承诺详细、具体,包括资金筹措、仓储设施、人员素质、管理水平等方面进行比较。 ①履约能力内容详细全面的，计4-7分； ②履约能力内容有1-2项缺项，内容薄弱的，计1-4分； ③未提供履约能力的不计分。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提供2023年01月至今类似业绩（仅限于投标人自己实施的），每提供1份得2分，最多得6分。 注：提供合同复印件加盖公章。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针对本项目有具体可行的售后服务方案：售后服务网点的设定，拟投入售后服务人员配置情况，售后响应时间及措施，对采购单位人员提供贮存、使用配比方法等专业的技术咨询和指导等。 ①售后服务方案内容具体、完整、详细、全面的计5-10分； ②售后服务方案内容1-2项欠缺、薄弱的计1-5分； ③未提供售后服务方案不得分。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30分。其他投标单位的价格分统一按照下列公式计算：投标报价得分=(评标基准价／投标报价)×投标报价总分 （计算分数时四舍五入取小数点后两位）。 评审委员会发现某一供应商的最后报价明显低于其他供应商的最后报价，使得其报价可能低于其成本的，应当要求该供应商作出书面说明并提供相应的证明材料。供应商不能合理说明或者不能提供相应证明材料的，由评审委员会认定该供应商以低于成本报价竞标，其供应商的最后报价不予认可，作无效响应处理视为自动放弃。</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详见附件：投标响应文件封面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