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版本号：HC-2025023-CG20251212001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数字校园建设项目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HC-2025023-CG</w:t>
      </w:r>
      <w:r>
        <w:br/>
      </w:r>
      <w:r>
        <w:br/>
      </w:r>
      <w:r>
        <w:br/>
      </w:r>
    </w:p>
    <w:p>
      <w:pPr>
        <w:pStyle w:val="null3"/>
        <w:jc w:val="center"/>
        <w:outlineLvl w:val="2"/>
      </w:pPr>
      <w:r>
        <w:rPr>
          <w:rFonts w:ascii="仿宋_GB2312" w:hAnsi="仿宋_GB2312" w:cs="仿宋_GB2312" w:eastAsia="仿宋_GB2312"/>
          <w:sz w:val="28"/>
          <w:b/>
        </w:rPr>
        <w:t>乾县第一中学</w:t>
      </w:r>
    </w:p>
    <w:p>
      <w:pPr>
        <w:pStyle w:val="null3"/>
        <w:jc w:val="center"/>
        <w:outlineLvl w:val="2"/>
      </w:pPr>
      <w:r>
        <w:rPr>
          <w:rFonts w:ascii="仿宋_GB2312" w:hAnsi="仿宋_GB2312" w:cs="仿宋_GB2312" w:eastAsia="仿宋_GB2312"/>
          <w:sz w:val="28"/>
          <w:b/>
        </w:rPr>
        <w:t>红城国际工程项目管理有限公司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红城国际工程项目管理有限公司</w:t>
      </w:r>
      <w:r>
        <w:rPr>
          <w:rFonts w:ascii="仿宋_GB2312" w:hAnsi="仿宋_GB2312" w:cs="仿宋_GB2312" w:eastAsia="仿宋_GB2312"/>
        </w:rPr>
        <w:t>（以下简称“代理机构”）受</w:t>
      </w:r>
      <w:r>
        <w:rPr>
          <w:rFonts w:ascii="仿宋_GB2312" w:hAnsi="仿宋_GB2312" w:cs="仿宋_GB2312" w:eastAsia="仿宋_GB2312"/>
        </w:rPr>
        <w:t>乾县第一中学</w:t>
      </w:r>
      <w:r>
        <w:rPr>
          <w:rFonts w:ascii="仿宋_GB2312" w:hAnsi="仿宋_GB2312" w:cs="仿宋_GB2312" w:eastAsia="仿宋_GB2312"/>
        </w:rPr>
        <w:t>委托，拟对</w:t>
      </w:r>
      <w:r>
        <w:rPr>
          <w:rFonts w:ascii="仿宋_GB2312" w:hAnsi="仿宋_GB2312" w:cs="仿宋_GB2312" w:eastAsia="仿宋_GB2312"/>
        </w:rPr>
        <w:t>数字校园建设项目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HC-2025023-CG</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数字校园建设项目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推动数字校园建设，结合我校实际情况，经学校行政会议研究决定，拟对综合管理平台门户、教师管理、学生管理、设备管理、信息管理、信息安全等多个智慧管理模块，AI教学终端设备及周边配套整合升级，并为实验楼采购安装14台智慧黑板。</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为具有独立承担民事责任能力的企业法人、事业法人、其他组织或自然人：供应商应为具有独立承担民事责任能力的企业法人、事业法人、其他组织或自然人，企业法人须提供统一社会信用代码的营业执照、事业单位须提供事业单位法人证、组织机构代码证等证明文件、其他组织应提供合法证明文件、自然人参与的提供其身份证。</w:t>
      </w:r>
    </w:p>
    <w:p>
      <w:pPr>
        <w:pStyle w:val="null3"/>
      </w:pPr>
      <w:r>
        <w:rPr>
          <w:rFonts w:ascii="仿宋_GB2312" w:hAnsi="仿宋_GB2312" w:cs="仿宋_GB2312" w:eastAsia="仿宋_GB2312"/>
        </w:rPr>
        <w:t>2、供应商应授权合法的人员参加投标：供应商应授权合法的人员参加投标，法定代表人（或单位负责人）直接参加的，须出具法定代表人（或单位负责人）身份证明及身份证，并与营业执照上信息一致；授权代表参加的，须出具法定代表人（或单位负责人）授权委托书及被授权人身份证。</w:t>
      </w:r>
    </w:p>
    <w:p>
      <w:pPr>
        <w:pStyle w:val="null3"/>
      </w:pPr>
      <w:r>
        <w:rPr>
          <w:rFonts w:ascii="仿宋_GB2312" w:hAnsi="仿宋_GB2312" w:cs="仿宋_GB2312" w:eastAsia="仿宋_GB2312"/>
        </w:rPr>
        <w:t>3、供应商应提供健全的财务会计制度：供应商需提2024年度的财务报告（至少包括财务报告、资产负债表、利润表（或损益表）、现金流量表，成立时间至递交投标文件截止时间不足一年的可提供成立后任意时段的资产负债表），或其开标前三个月内基本存款账户开户银行出具的资信证明及基本存款账户开户信息，其他组织和自然人提供银行出具的资信证明或财务报表。</w:t>
      </w:r>
    </w:p>
    <w:p>
      <w:pPr>
        <w:pStyle w:val="null3"/>
      </w:pPr>
      <w:r>
        <w:rPr>
          <w:rFonts w:ascii="仿宋_GB2312" w:hAnsi="仿宋_GB2312" w:cs="仿宋_GB2312" w:eastAsia="仿宋_GB2312"/>
        </w:rPr>
        <w:t>4、税收缴纳证明：供应商提供投标文件递交截止时间前六个月内任意一月已缴纳的纳税证明或完税证明，依法免税的供应商应提供相关证明文件。</w:t>
      </w:r>
    </w:p>
    <w:p>
      <w:pPr>
        <w:pStyle w:val="null3"/>
      </w:pPr>
      <w:r>
        <w:rPr>
          <w:rFonts w:ascii="仿宋_GB2312" w:hAnsi="仿宋_GB2312" w:cs="仿宋_GB2312" w:eastAsia="仿宋_GB2312"/>
        </w:rPr>
        <w:t>5、社保缴纳证明：供应商提供投标文件递交截止时间前六个月内任意一月已缴存的社会保障资金缴费证明或参保证明，依法不需要缴纳社会保障资金的供应商应提供相关证明文件。</w:t>
      </w:r>
    </w:p>
    <w:p>
      <w:pPr>
        <w:pStyle w:val="null3"/>
      </w:pPr>
      <w:r>
        <w:rPr>
          <w:rFonts w:ascii="仿宋_GB2312" w:hAnsi="仿宋_GB2312" w:cs="仿宋_GB2312" w:eastAsia="仿宋_GB2312"/>
        </w:rPr>
        <w:t>6、无重大违法记录：参加政府采购活动前3年内，在经营活动中没有重大违法记录的书面声明。</w:t>
      </w:r>
    </w:p>
    <w:p>
      <w:pPr>
        <w:pStyle w:val="null3"/>
      </w:pPr>
      <w:r>
        <w:rPr>
          <w:rFonts w:ascii="仿宋_GB2312" w:hAnsi="仿宋_GB2312" w:cs="仿宋_GB2312" w:eastAsia="仿宋_GB2312"/>
        </w:rPr>
        <w:t>7、具有履行合同所必需的设备和专业技术能力：供应商应具有履行合同所必需的设备和专业技术能力，提供承诺书。</w:t>
      </w:r>
    </w:p>
    <w:p>
      <w:pPr>
        <w:pStyle w:val="null3"/>
      </w:pPr>
      <w:r>
        <w:rPr>
          <w:rFonts w:ascii="仿宋_GB2312" w:hAnsi="仿宋_GB2312" w:cs="仿宋_GB2312" w:eastAsia="仿宋_GB2312"/>
        </w:rPr>
        <w:t>8、信用查询：供应商不得为“信用中国”网站（www.creditchina.gov.cn）中列入重大税收违法失信主体名单的供应商、不得为“中国执行信息公开网”网站（zxgk.court.gov.cn）中列入失信被执行人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9、非联合体投标声明：本项目不接受联合体，提供非联合体投标声明。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乾县第一中学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乾县城关镇一中巷2号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王家强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029-35530302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红城国际工程项目管理有限公司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陕西省西安市高新区高新六路21号CROSS万象汇6幢1单元7层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曹学伟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17730602788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乾县政府采购管理股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吴翌臻</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13772572080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采购包1：488,600.00元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代理服务费收费标准：参照国家计委关于印发《招标代理服务收费管理暂行办法》的通知（计价格〔2002〕1980号）、国家发改委文件发改价格【2011】534号文规定向中标（成交）供应商收取代理服务费。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乾县第一中学</w:t>
      </w:r>
      <w:r>
        <w:rPr>
          <w:rFonts w:ascii="仿宋_GB2312" w:hAnsi="仿宋_GB2312" w:cs="仿宋_GB2312" w:eastAsia="仿宋_GB2312"/>
        </w:rPr>
        <w:t>和</w:t>
      </w:r>
      <w:r>
        <w:rPr>
          <w:rFonts w:ascii="仿宋_GB2312" w:hAnsi="仿宋_GB2312" w:cs="仿宋_GB2312" w:eastAsia="仿宋_GB2312"/>
        </w:rPr>
        <w:t>红城国际工程项目管理有限公司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乾县第一中学</w:t>
      </w:r>
      <w:r>
        <w:rPr>
          <w:rFonts w:ascii="仿宋_GB2312" w:hAnsi="仿宋_GB2312" w:cs="仿宋_GB2312" w:eastAsia="仿宋_GB2312"/>
        </w:rPr>
        <w:t>负责解释。除上述招标文件内容，其他内容由</w:t>
      </w:r>
      <w:r>
        <w:rPr>
          <w:rFonts w:ascii="仿宋_GB2312" w:hAnsi="仿宋_GB2312" w:cs="仿宋_GB2312" w:eastAsia="仿宋_GB2312"/>
        </w:rPr>
        <w:t>红城国际工程项目管理有限公司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乾县第一中学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红城国际工程项目管理有限公司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以招标文件、合同约定为核心依据，硬件参数与功能、安装规范达标；软件功能完整、性能稳定、数据对接兼容；服务履约到位；安全合规。全部指标满足要求为合格，不合格项限期整改复验。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红城国际工程项目管理有限公司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红城国际工程项目管理有限公司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红城国际工程项目管理有限公司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联系人：曹学伟</w:t>
      </w:r>
    </w:p>
    <w:p>
      <w:pPr>
        <w:pStyle w:val="null3"/>
      </w:pPr>
      <w:r>
        <w:rPr>
          <w:rFonts w:ascii="仿宋_GB2312" w:hAnsi="仿宋_GB2312" w:cs="仿宋_GB2312" w:eastAsia="仿宋_GB2312"/>
        </w:rPr>
        <w:t>联系电话：17730602788</w:t>
      </w:r>
    </w:p>
    <w:p>
      <w:pPr>
        <w:pStyle w:val="null3"/>
      </w:pPr>
      <w:r>
        <w:rPr>
          <w:rFonts w:ascii="仿宋_GB2312" w:hAnsi="仿宋_GB2312" w:cs="仿宋_GB2312" w:eastAsia="仿宋_GB2312"/>
        </w:rPr>
        <w:t>地址：陕西省西安市高新区高新六路21号CR0SS万象汇6幢1单元7层</w:t>
      </w:r>
    </w:p>
    <w:p>
      <w:pPr>
        <w:pStyle w:val="null3"/>
      </w:pPr>
      <w:r>
        <w:rPr>
          <w:rFonts w:ascii="仿宋_GB2312" w:hAnsi="仿宋_GB2312" w:cs="仿宋_GB2312" w:eastAsia="仿宋_GB2312"/>
        </w:rPr>
        <w:t>邮编： 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推动数字校园建设，结合我校实际情况，经学校行政会议研究决定，拟对综合管理平台门户、教师管理、学生管理、设备管理、信息管理、信息安全等多个智慧管理模块，AI教学终端设备及周边配套整合升级，并为实验楼采购安装14台智慧黑板。</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488,600.00</w:t>
      </w:r>
    </w:p>
    <w:p>
      <w:pPr>
        <w:pStyle w:val="null3"/>
      </w:pPr>
      <w:r>
        <w:rPr>
          <w:rFonts w:ascii="仿宋_GB2312" w:hAnsi="仿宋_GB2312" w:cs="仿宋_GB2312" w:eastAsia="仿宋_GB2312"/>
        </w:rPr>
        <w:t>采购包最高限价（元）: 488,600.00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乾县第一中学数字校园建设项目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488,600.00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标的名称：乾县第一中学数字校园建设项目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智慧黑板（14台）【核心产品】</w:t>
            </w:r>
          </w:p>
          <w:p>
            <w:pPr>
              <w:pStyle w:val="null3"/>
            </w:pPr>
            <w:r>
              <w:rPr>
                <w:rFonts w:ascii="仿宋_GB2312" w:hAnsi="仿宋_GB2312" w:cs="仿宋_GB2312" w:eastAsia="仿宋_GB2312"/>
              </w:rPr>
              <w:t>一、整体设计</w:t>
            </w:r>
            <w:r>
              <w:br/>
            </w:r>
            <w:r>
              <w:rPr>
                <w:rFonts w:ascii="仿宋_GB2312" w:hAnsi="仿宋_GB2312" w:cs="仿宋_GB2312" w:eastAsia="仿宋_GB2312"/>
              </w:rPr>
              <w:t xml:space="preserve"> 1.整机采用三拼接平面一体化设计，无推拉式结构及外露连接线，外观简洁。整机尺寸宽度≥4200mm，高度≥1200mm。整机屏幕边缘采用金属圆角包边防护。</w:t>
            </w:r>
            <w:r>
              <w:br/>
            </w:r>
            <w:r>
              <w:rPr>
                <w:rFonts w:ascii="仿宋_GB2312" w:hAnsi="仿宋_GB2312" w:cs="仿宋_GB2312" w:eastAsia="仿宋_GB2312"/>
              </w:rPr>
              <w:t xml:space="preserve"> 2.整机中间主屏及两侧副屏可支持多种媒介（普通粉笔、液体粉笔、水溶性粉笔等）进行板书书写，便于老师完整书写教学内容。</w:t>
            </w:r>
            <w:r>
              <w:br/>
            </w:r>
            <w:r>
              <w:rPr>
                <w:rFonts w:ascii="仿宋_GB2312" w:hAnsi="仿宋_GB2312" w:cs="仿宋_GB2312" w:eastAsia="仿宋_GB2312"/>
              </w:rPr>
              <w:t xml:space="preserve"> 3.中央主屏幕显示采用不低于85英寸UHD超高清LED液晶屏，显示比例16:9，屏幕分辨率不低于3840*2160，具备防眩光效果。</w:t>
            </w:r>
            <w:r>
              <w:br/>
            </w:r>
            <w:r>
              <w:rPr>
                <w:rFonts w:ascii="仿宋_GB2312" w:hAnsi="仿宋_GB2312" w:cs="仿宋_GB2312" w:eastAsia="仿宋_GB2312"/>
              </w:rPr>
              <w:t xml:space="preserve"> 4.长时间无人使用屏幕可自动息屏，有效保护屏幕寿命及节能，用户可通过整机内置触摸中控菜单进行开启和关闭，可自定义无人操作息屏时间间隔。</w:t>
            </w:r>
            <w:r>
              <w:br/>
            </w:r>
            <w:r>
              <w:rPr>
                <w:rFonts w:ascii="仿宋_GB2312" w:hAnsi="仿宋_GB2312" w:cs="仿宋_GB2312" w:eastAsia="仿宋_GB2312"/>
              </w:rPr>
              <w:t xml:space="preserve"> 二、电视系统</w:t>
            </w:r>
            <w:r>
              <w:br/>
            </w:r>
            <w:r>
              <w:rPr>
                <w:rFonts w:ascii="仿宋_GB2312" w:hAnsi="仿宋_GB2312" w:cs="仿宋_GB2312" w:eastAsia="仿宋_GB2312"/>
              </w:rPr>
              <w:t xml:space="preserve"> 5.采用红外触控方式，支持30点或以上触控。</w:t>
            </w:r>
            <w:r>
              <w:br/>
            </w:r>
            <w:r>
              <w:rPr>
                <w:rFonts w:ascii="仿宋_GB2312" w:hAnsi="仿宋_GB2312" w:cs="仿宋_GB2312" w:eastAsia="仿宋_GB2312"/>
              </w:rPr>
              <w:t xml:space="preserve"> 6.整机内置2.2声道扬声器，位于设备上边框，额定总功率不低于55W。需提供相应的功能证明材料（包括但不限于测试报告、官网和功能截图）。</w:t>
            </w:r>
            <w:r>
              <w:br/>
            </w:r>
            <w:r>
              <w:rPr>
                <w:rFonts w:ascii="仿宋_GB2312" w:hAnsi="仿宋_GB2312" w:cs="仿宋_GB2312" w:eastAsia="仿宋_GB2312"/>
              </w:rPr>
              <w:t xml:space="preserve"> 7.整机全部扬声器均采用模块化设计，无需打开背板即可单独拆卸，便于维护。</w:t>
            </w:r>
            <w:r>
              <w:br/>
            </w:r>
            <w:r>
              <w:rPr>
                <w:rFonts w:ascii="仿宋_GB2312" w:hAnsi="仿宋_GB2312" w:cs="仿宋_GB2312" w:eastAsia="仿宋_GB2312"/>
              </w:rPr>
              <w:t xml:space="preserve"> 8.整机内置扬声器采用缝隙发声技术，喇叭采用槽式开口设计。</w:t>
            </w:r>
            <w:r>
              <w:br/>
            </w:r>
            <w:r>
              <w:rPr>
                <w:rFonts w:ascii="仿宋_GB2312" w:hAnsi="仿宋_GB2312" w:cs="仿宋_GB2312" w:eastAsia="仿宋_GB2312"/>
              </w:rPr>
              <w:t xml:space="preserve"> 三、整机功能</w:t>
            </w:r>
            <w:r>
              <w:br/>
            </w:r>
            <w:r>
              <w:rPr>
                <w:rFonts w:ascii="仿宋_GB2312" w:hAnsi="仿宋_GB2312" w:cs="仿宋_GB2312" w:eastAsia="仿宋_GB2312"/>
              </w:rPr>
              <w:t xml:space="preserve"> 9.整机具有减滤蓝光功能，可通过前置面板物理功能按键一键启用护眼模式，让师生视力健康得到保障。</w:t>
            </w:r>
            <w:r>
              <w:br/>
            </w:r>
            <w:r>
              <w:rPr>
                <w:rFonts w:ascii="仿宋_GB2312" w:hAnsi="仿宋_GB2312" w:cs="仿宋_GB2312" w:eastAsia="仿宋_GB2312"/>
              </w:rPr>
              <w:t xml:space="preserve"> 10.设备支持通过前置物理按键一键启动录屏功能， 可将屏幕中显示的课件、音频内容与老师人声同时录制。</w:t>
            </w:r>
            <w:r>
              <w:br/>
            </w:r>
            <w:r>
              <w:rPr>
                <w:rFonts w:ascii="仿宋_GB2312" w:hAnsi="仿宋_GB2312" w:cs="仿宋_GB2312" w:eastAsia="仿宋_GB2312"/>
              </w:rPr>
              <w:t xml:space="preserve"> 11.整机内置非独立摄像头，采用一体化集成设计，可拍摄≥4950万像素数的照片。提供生产厂家出具的、相应的功能证明材料（包括但不限于测试报告、官网和功能截图等）。</w:t>
            </w:r>
            <w:r>
              <w:br/>
            </w:r>
            <w:r>
              <w:rPr>
                <w:rFonts w:ascii="仿宋_GB2312" w:hAnsi="仿宋_GB2312" w:cs="仿宋_GB2312" w:eastAsia="仿宋_GB2312"/>
              </w:rPr>
              <w:t xml:space="preserve"> 12.整机支持通过人脸识别进行登录账号。</w:t>
            </w:r>
            <w:r>
              <w:br/>
            </w:r>
            <w:r>
              <w:rPr>
                <w:rFonts w:ascii="仿宋_GB2312" w:hAnsi="仿宋_GB2312" w:cs="仿宋_GB2312" w:eastAsia="仿宋_GB2312"/>
              </w:rPr>
              <w:t xml:space="preserve"> 13.支持系统外置电脑操作系统接入时，无需安装触摸驱动。</w:t>
            </w:r>
            <w:r>
              <w:br/>
            </w:r>
            <w:r>
              <w:rPr>
                <w:rFonts w:ascii="仿宋_GB2312" w:hAnsi="仿宋_GB2312" w:cs="仿宋_GB2312" w:eastAsia="仿宋_GB2312"/>
              </w:rPr>
              <w:t xml:space="preserve"> 14.整机支持纸质护眼模式，可以在任意通道任意画面任意软件所有显示内容下实现画面纹理的实时调整；支持纸质纹理：牛皮纸、素描纸、宣纸、水彩纸、水纹纸；支持透明度调节；支持色温调节。</w:t>
            </w:r>
            <w:r>
              <w:br/>
            </w:r>
            <w:r>
              <w:rPr>
                <w:rFonts w:ascii="仿宋_GB2312" w:hAnsi="仿宋_GB2312" w:cs="仿宋_GB2312" w:eastAsia="仿宋_GB2312"/>
              </w:rPr>
              <w:t xml:space="preserve"> 15.整机Windows通道支持文件传输应用，支持通过扫码、wifi直联、超声三种方式与手机进行握手连接，实现文件传输功能。提供生产厂家出具的、相应的功能证明材料（包括但不限于测试报告、官网和功能截图等）。</w:t>
            </w:r>
            <w:r>
              <w:br/>
            </w:r>
            <w:r>
              <w:rPr>
                <w:rFonts w:ascii="仿宋_GB2312" w:hAnsi="仿宋_GB2312" w:cs="仿宋_GB2312" w:eastAsia="仿宋_GB2312"/>
              </w:rPr>
              <w:t xml:space="preserve"> 16.在任意信号源通道下，支持十指长按屏幕5秒和遥控器两种方式实现触摸锁定及解锁，触摸锁定时整机无法被触控操作。</w:t>
            </w:r>
            <w:r>
              <w:br/>
            </w:r>
            <w:r>
              <w:rPr>
                <w:rFonts w:ascii="仿宋_GB2312" w:hAnsi="仿宋_GB2312" w:cs="仿宋_GB2312" w:eastAsia="仿宋_GB2312"/>
              </w:rPr>
              <w:t xml:space="preserve"> 17.支持自定义开机通道，用户可设置默认通道，开机自动进入无需手动切换。</w:t>
            </w:r>
            <w:r>
              <w:br/>
            </w:r>
            <w:r>
              <w:rPr>
                <w:rFonts w:ascii="仿宋_GB2312" w:hAnsi="仿宋_GB2312" w:cs="仿宋_GB2312" w:eastAsia="仿宋_GB2312"/>
              </w:rPr>
              <w:t xml:space="preserve"> 18.整机内置双WiFi6无线网卡，可实现Wi-Fi无线上网连接、AP无线热点发射。提供生产厂家出具的、相应的功能证明材料（包括但不限于测试报告、官网和功能截图等）。</w:t>
            </w:r>
            <w:r>
              <w:br/>
            </w:r>
            <w:r>
              <w:rPr>
                <w:rFonts w:ascii="仿宋_GB2312" w:hAnsi="仿宋_GB2312" w:cs="仿宋_GB2312" w:eastAsia="仿宋_GB2312"/>
              </w:rPr>
              <w:t xml:space="preserve"> 19.整机支持发出超声波信号，智能手机通过麦克风接收后，智能手机与整机无需在同一局域网内，可实现配对，一键投屏。</w:t>
            </w:r>
            <w:r>
              <w:br/>
            </w:r>
            <w:r>
              <w:rPr>
                <w:rFonts w:ascii="仿宋_GB2312" w:hAnsi="仿宋_GB2312" w:cs="仿宋_GB2312" w:eastAsia="仿宋_GB2312"/>
              </w:rPr>
              <w:t xml:space="preserve"> 20.整机不低于支持蓝牙Bluetooth 5.4标准。提供生产厂家出具的、相应的功能证明材料（包括但不限于测试报告、官网和功能截图等）。</w:t>
            </w:r>
            <w:r>
              <w:br/>
            </w:r>
            <w:r>
              <w:rPr>
                <w:rFonts w:ascii="仿宋_GB2312" w:hAnsi="仿宋_GB2312" w:cs="仿宋_GB2312" w:eastAsia="仿宋_GB2312"/>
              </w:rPr>
              <w:t xml:space="preserve"> 四、安卓系统</w:t>
            </w:r>
            <w:r>
              <w:br/>
            </w:r>
            <w:r>
              <w:rPr>
                <w:rFonts w:ascii="仿宋_GB2312" w:hAnsi="仿宋_GB2312" w:cs="仿宋_GB2312" w:eastAsia="仿宋_GB2312"/>
              </w:rPr>
              <w:t xml:space="preserve"> 21.嵌入式系统版本不低于Android 14。提供生产厂家出具的、相应的功能证明材料（包括但不限于测试报告、官网和功能截图等）。</w:t>
            </w:r>
            <w:r>
              <w:br/>
            </w:r>
            <w:r>
              <w:rPr>
                <w:rFonts w:ascii="仿宋_GB2312" w:hAnsi="仿宋_GB2312" w:cs="仿宋_GB2312" w:eastAsia="仿宋_GB2312"/>
              </w:rPr>
              <w:t xml:space="preserve"> 22.在安卓操作系统下，能对TV多媒体USB所读取到的课件文件进行自动归类，可快速分类查找文档、板书、图片、音视频，检索后可直接在界面中打开。</w:t>
            </w:r>
            <w:r>
              <w:br/>
            </w:r>
            <w:r>
              <w:rPr>
                <w:rFonts w:ascii="仿宋_GB2312" w:hAnsi="仿宋_GB2312" w:cs="仿宋_GB2312" w:eastAsia="仿宋_GB2312"/>
              </w:rPr>
              <w:t xml:space="preserve"> 23.安卓系统内置互动白板支持全局漫游，并能在工具栏中对全局内容进行预览和移动。</w:t>
            </w:r>
            <w:r>
              <w:br/>
            </w:r>
            <w:r>
              <w:rPr>
                <w:rFonts w:ascii="仿宋_GB2312" w:hAnsi="仿宋_GB2312" w:cs="仿宋_GB2312" w:eastAsia="仿宋_GB2312"/>
              </w:rPr>
              <w:t xml:space="preserve"> 五、AI应用</w:t>
            </w:r>
            <w:r>
              <w:br/>
            </w:r>
            <w:r>
              <w:rPr>
                <w:rFonts w:ascii="仿宋_GB2312" w:hAnsi="仿宋_GB2312" w:cs="仿宋_GB2312" w:eastAsia="仿宋_GB2312"/>
              </w:rPr>
              <w:t xml:space="preserve"> 24.整机嵌入式芯片内置不低于1 TOPS AI算力，可用于AI图像、音频处理。需提供相应的功能证明材料（包括但不限于测试报告、官网和功能截图）。</w:t>
            </w:r>
            <w:r>
              <w:br/>
            </w:r>
            <w:r>
              <w:rPr>
                <w:rFonts w:ascii="仿宋_GB2312" w:hAnsi="仿宋_GB2312" w:cs="仿宋_GB2312" w:eastAsia="仿宋_GB2312"/>
              </w:rPr>
              <w:t xml:space="preserve"> 25.整机侧边栏内置朗读工具，通过整机麦克风内置音频检测算法监测教室中学生的朗读情况，以游戏化界面呈现朗读积极性，调动学生朗读兴趣。</w:t>
            </w:r>
            <w:r>
              <w:br/>
            </w:r>
            <w:r>
              <w:rPr>
                <w:rFonts w:ascii="仿宋_GB2312" w:hAnsi="仿宋_GB2312" w:cs="仿宋_GB2312" w:eastAsia="仿宋_GB2312"/>
              </w:rPr>
              <w:t xml:space="preserve"> 26.整机侧边栏内置自习工具，通过整机麦克风内置AI音频检测算法监测教室中学生音量大小，当学生音量大于阈值时，屏幕自动弹窗提醒进行自习纪律干预。需提供相应的功能证明材料（包括但不限于测试报告、官网和功能截图）。</w:t>
            </w:r>
            <w:r>
              <w:br/>
            </w:r>
            <w:r>
              <w:rPr>
                <w:rFonts w:ascii="仿宋_GB2312" w:hAnsi="仿宋_GB2312" w:cs="仿宋_GB2312" w:eastAsia="仿宋_GB2312"/>
              </w:rPr>
              <w:t xml:space="preserve"> 27.整机内置的阵列麦支持在无任何外部设备的情况下，实时录制用户朗读内容，识别用户声纹并进行统一身份登录操作，登录后自动获取个人云端教学课件列表，打开教学白板软件时可跳过软件自带登录步骤。</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备授课白板软件（14项）</w:t>
            </w:r>
            <w:r>
              <w:br/>
            </w:r>
            <w:r>
              <w:rPr>
                <w:rFonts w:ascii="仿宋_GB2312" w:hAnsi="仿宋_GB2312" w:cs="仿宋_GB2312" w:eastAsia="仿宋_GB2312"/>
              </w:rPr>
              <w:t xml:space="preserve"> 1.备授课一体化，具有备课模式及授课模式，且操作界面 根据备课和授课使用场景不同而区别设计，符合用户使用需求。</w:t>
            </w:r>
          </w:p>
          <w:p>
            <w:pPr>
              <w:pStyle w:val="null3"/>
            </w:pPr>
            <w:r>
              <w:rPr>
                <w:rFonts w:ascii="仿宋_GB2312" w:hAnsi="仿宋_GB2312" w:cs="仿宋_GB2312" w:eastAsia="仿宋_GB2312"/>
              </w:rPr>
              <w:t>2.电子白板软件提供至少三种登录方式，所有应用模块的入口均在统一界面上，包括教师云空间、课件资源库、云直播课堂、知识胶囊录制，校本资源库等功能。各级菜单功能按钮和图标的各级菜单均配备明确标识。</w:t>
            </w:r>
          </w:p>
          <w:p>
            <w:pPr>
              <w:pStyle w:val="null3"/>
            </w:pPr>
            <w:r>
              <w:rPr>
                <w:rFonts w:ascii="仿宋_GB2312" w:hAnsi="仿宋_GB2312" w:cs="仿宋_GB2312" w:eastAsia="仿宋_GB2312"/>
              </w:rPr>
              <w:t>3.支持用户在软件中打开pptx格式文件，且用户可在软件中自由编辑原文件中的图片、文字、表格等元素，并支持修改原文件中的动画。老师利用软件互动功能在原有PPT基础上修改课件。</w:t>
            </w:r>
          </w:p>
          <w:p>
            <w:pPr>
              <w:pStyle w:val="null3"/>
            </w:pPr>
            <w:r>
              <w:rPr>
                <w:rFonts w:ascii="仿宋_GB2312" w:hAnsi="仿宋_GB2312" w:cs="仿宋_GB2312" w:eastAsia="仿宋_GB2312"/>
              </w:rPr>
              <w:t>4.文本框：支持文本输入并可快速设置字体、大小、颜色、粗体、斜体、下划线、上角标、下角标、项目符号，方便指数、化学式等复杂文本的输入。可对文本的对齐、缩进、行高等进行设置。</w:t>
            </w:r>
          </w:p>
          <w:p>
            <w:pPr>
              <w:pStyle w:val="null3"/>
            </w:pPr>
            <w:r>
              <w:rPr>
                <w:rFonts w:ascii="仿宋_GB2312" w:hAnsi="仿宋_GB2312" w:cs="仿宋_GB2312" w:eastAsia="仿宋_GB2312"/>
              </w:rPr>
              <w:t>5.多媒体导入：支持导入图片、音视频等多媒体文件供备课使用。</w:t>
            </w:r>
          </w:p>
          <w:p>
            <w:pPr>
              <w:pStyle w:val="null3"/>
            </w:pPr>
            <w:r>
              <w:rPr>
                <w:rFonts w:ascii="仿宋_GB2312" w:hAnsi="仿宋_GB2312" w:cs="仿宋_GB2312" w:eastAsia="仿宋_GB2312"/>
              </w:rPr>
              <w:t>6.提供专门的白板软件手机版，在手机上登录账号后，支持以列表的方式查看该账号里所有的云课件，预览模式下的云课件支持元素拖拽、克隆、置顶、删除等互动功能，支持在手机上进行思维导图、课堂活动等操作。</w:t>
            </w:r>
          </w:p>
          <w:p>
            <w:pPr>
              <w:pStyle w:val="null3"/>
            </w:pPr>
            <w:r>
              <w:rPr>
                <w:rFonts w:ascii="仿宋_GB2312" w:hAnsi="仿宋_GB2312" w:cs="仿宋_GB2312" w:eastAsia="仿宋_GB2312"/>
              </w:rPr>
              <w:t>7.支持通过U盘制作U盘钥匙快速登录账号，并同步云端课件。</w:t>
            </w:r>
          </w:p>
          <w:p>
            <w:pPr>
              <w:pStyle w:val="null3"/>
            </w:pPr>
            <w:r>
              <w:rPr>
                <w:rFonts w:ascii="仿宋_GB2312" w:hAnsi="仿宋_GB2312" w:cs="仿宋_GB2312" w:eastAsia="仿宋_GB2312"/>
              </w:rPr>
              <w:t>8.具有在课件中一键生成评课和课件分享二维码，方便老师实时评课，评课标准为央馆一师一优课标准模板，或学校可根据实际情况自己定义，并支持主观评价。</w:t>
            </w:r>
          </w:p>
          <w:p>
            <w:pPr>
              <w:pStyle w:val="null3"/>
            </w:pPr>
            <w:r>
              <w:rPr>
                <w:rFonts w:ascii="仿宋_GB2312" w:hAnsi="仿宋_GB2312" w:cs="仿宋_GB2312" w:eastAsia="仿宋_GB2312"/>
              </w:rPr>
              <w:t>9.提供教学设计功能，支持教师根据教学需要自主添加课堂活动。课堂活动中涵盖趣味分类，超级分类，选词填空，知识配对，分组竞争，判断对错等环节，支持调整编辑或增删各个环节。</w:t>
            </w:r>
          </w:p>
          <w:p>
            <w:pPr>
              <w:pStyle w:val="null3"/>
            </w:pPr>
            <w:r>
              <w:rPr>
                <w:rFonts w:ascii="仿宋_GB2312" w:hAnsi="仿宋_GB2312" w:cs="仿宋_GB2312" w:eastAsia="仿宋_GB2312"/>
              </w:rPr>
              <w:t>10.分组竞争游戏：支持创建分组竞争游戏，教师可设置正确项／干扰项，让两组学生开展竞争游戏。系统提供≥3种难度、≥10种游戏模板选择。</w:t>
            </w:r>
          </w:p>
          <w:p>
            <w:pPr>
              <w:pStyle w:val="null3"/>
            </w:pPr>
            <w:r>
              <w:rPr>
                <w:rFonts w:ascii="仿宋_GB2312" w:hAnsi="仿宋_GB2312" w:cs="仿宋_GB2312" w:eastAsia="仿宋_GB2312"/>
              </w:rPr>
              <w:t>11.支持在备授课软件中一键录制教学小视频：个人空间支持语音识别转文字，支持视频内课件控制，支持在个人空间查看录制数量、累计时长数据，提供上述数据个人与全校教师的对比情况。在白板软件直接录制，不接受使用第三方软件和平台。</w:t>
            </w:r>
          </w:p>
          <w:p>
            <w:pPr>
              <w:pStyle w:val="null3"/>
            </w:pPr>
            <w:r>
              <w:rPr>
                <w:rFonts w:ascii="仿宋_GB2312" w:hAnsi="仿宋_GB2312" w:cs="仿宋_GB2312" w:eastAsia="仿宋_GB2312"/>
              </w:rPr>
              <w:t>12.思维导图总结联系：支持对思维导图任意相邻节点进行总结，老师知识点的总结呈现，同时在节点引出联系内容，知识点的关联和总结。系统自带关联和总结方式，而非手动绘制粘贴等方式。且模板样式支持自定义修改。</w:t>
            </w:r>
          </w:p>
          <w:p>
            <w:pPr>
              <w:pStyle w:val="null3"/>
            </w:pPr>
            <w:r>
              <w:rPr>
                <w:rFonts w:ascii="仿宋_GB2312" w:hAnsi="仿宋_GB2312" w:cs="仿宋_GB2312" w:eastAsia="仿宋_GB2312"/>
              </w:rPr>
              <w:t>13.AI智能英语听写工具：配合英语学科听写工具，覆盖小初高不少于8000个英语单词及多个常用教材版本，单词内容与教材章节相匹配，支持自定义选择单词。自定义听写频率和次数，一键生成听写卡；授课模式下支持一键开启听写朗读。</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学生管理软件（14项）</w:t>
            </w:r>
            <w:r>
              <w:br/>
            </w:r>
            <w:r>
              <w:rPr>
                <w:rFonts w:ascii="仿宋_GB2312" w:hAnsi="仿宋_GB2312" w:cs="仿宋_GB2312" w:eastAsia="仿宋_GB2312"/>
              </w:rPr>
              <w:t xml:space="preserve"> 一、基础功能：</w:t>
            </w:r>
          </w:p>
          <w:p>
            <w:pPr>
              <w:pStyle w:val="null3"/>
            </w:pPr>
            <w:r>
              <w:rPr>
                <w:rFonts w:ascii="仿宋_GB2312" w:hAnsi="仿宋_GB2312" w:cs="仿宋_GB2312" w:eastAsia="仿宋_GB2312"/>
              </w:rPr>
              <w:t>1.支持通过数字账号、微信二维码、硬件密钥方式登录教师个人账号。</w:t>
            </w:r>
          </w:p>
          <w:p>
            <w:pPr>
              <w:pStyle w:val="null3"/>
            </w:pPr>
            <w:r>
              <w:rPr>
                <w:rFonts w:ascii="仿宋_GB2312" w:hAnsi="仿宋_GB2312" w:cs="仿宋_GB2312" w:eastAsia="仿宋_GB2312"/>
              </w:rPr>
              <w:t>2.移动端支持教师/家长双重身份无缝切换，软件内可直接切换账户类型，无需安装多个APP应用或退出账号重新登录。</w:t>
            </w:r>
          </w:p>
          <w:p>
            <w:pPr>
              <w:pStyle w:val="null3"/>
            </w:pPr>
            <w:r>
              <w:rPr>
                <w:rFonts w:ascii="仿宋_GB2312" w:hAnsi="仿宋_GB2312" w:cs="仿宋_GB2312" w:eastAsia="仿宋_GB2312"/>
              </w:rPr>
              <w:t>3.兼容多平台系统，可在PC、Web、安卓、iOS等系统使用，且各终端数据互通，教师可多场景下对学生进行管理与评价。</w:t>
            </w:r>
          </w:p>
          <w:p>
            <w:pPr>
              <w:pStyle w:val="null3"/>
            </w:pPr>
            <w:r>
              <w:rPr>
                <w:rFonts w:ascii="仿宋_GB2312" w:hAnsi="仿宋_GB2312" w:cs="仿宋_GB2312" w:eastAsia="仿宋_GB2312"/>
              </w:rPr>
              <w:t>4.学生行为评价系统集成学校管理、教师管理、课堂表现评价、家校互联互通功能，所有功能同一软件平台的同一账户实现。</w:t>
            </w:r>
          </w:p>
          <w:p>
            <w:pPr>
              <w:pStyle w:val="null3"/>
            </w:pPr>
            <w:r>
              <w:rPr>
                <w:rFonts w:ascii="仿宋_GB2312" w:hAnsi="仿宋_GB2312" w:cs="仿宋_GB2312" w:eastAsia="仿宋_GB2312"/>
              </w:rPr>
              <w:t>5.支持对家长进行定向邀请，家长入班后可查看学生在校表现并实时接收教师通知。</w:t>
            </w:r>
          </w:p>
          <w:p>
            <w:pPr>
              <w:pStyle w:val="null3"/>
            </w:pPr>
            <w:r>
              <w:rPr>
                <w:rFonts w:ascii="仿宋_GB2312" w:hAnsi="仿宋_GB2312" w:cs="仿宋_GB2312" w:eastAsia="仿宋_GB2312"/>
              </w:rPr>
              <w:t>6.支持对任课教师进行定向邀请，教师入班后可协同对班级学生进行管理评价。</w:t>
            </w:r>
          </w:p>
          <w:p>
            <w:pPr>
              <w:pStyle w:val="null3"/>
            </w:pPr>
            <w:r>
              <w:rPr>
                <w:rFonts w:ascii="仿宋_GB2312" w:hAnsi="仿宋_GB2312" w:cs="仿宋_GB2312" w:eastAsia="仿宋_GB2312"/>
              </w:rPr>
              <w:t>二、学生点评：</w:t>
            </w:r>
          </w:p>
          <w:p>
            <w:pPr>
              <w:pStyle w:val="null3"/>
            </w:pPr>
            <w:r>
              <w:rPr>
                <w:rFonts w:ascii="仿宋_GB2312" w:hAnsi="仿宋_GB2312" w:cs="仿宋_GB2312" w:eastAsia="仿宋_GB2312"/>
              </w:rPr>
              <w:t>1.支持按学生或小组的首字母、总分、表扬分数、待改进分数等维度进行排序，方便老师快速找到需要评价的学生或小组。</w:t>
            </w:r>
          </w:p>
          <w:p>
            <w:pPr>
              <w:pStyle w:val="null3"/>
            </w:pPr>
            <w:r>
              <w:rPr>
                <w:rFonts w:ascii="仿宋_GB2312" w:hAnsi="仿宋_GB2312" w:cs="仿宋_GB2312" w:eastAsia="仿宋_GB2312"/>
              </w:rPr>
              <w:t>2.提供TBL\PBL分组教学评价功能，教师可自由创建多个学生小组，支持对单个小组成员进行换组调整。同时提供快速随机分组功能，可快速将班级学生按照教师需求的组别数量进行随机分组。</w:t>
            </w:r>
          </w:p>
          <w:p>
            <w:pPr>
              <w:pStyle w:val="null3"/>
            </w:pPr>
            <w:r>
              <w:rPr>
                <w:rFonts w:ascii="仿宋_GB2312" w:hAnsi="仿宋_GB2312" w:cs="仿宋_GB2312" w:eastAsia="仿宋_GB2312"/>
              </w:rPr>
              <w:t>3.根据评价得分情况，对应小组或学生的头像装饰产生相应变化，以游戏化方式激励学生积极参与课堂互动。</w:t>
            </w:r>
          </w:p>
          <w:p>
            <w:pPr>
              <w:pStyle w:val="null3"/>
            </w:pPr>
            <w:r>
              <w:rPr>
                <w:rFonts w:ascii="仿宋_GB2312" w:hAnsi="仿宋_GB2312" w:cs="仿宋_GB2312" w:eastAsia="仿宋_GB2312"/>
              </w:rPr>
              <w:t>4.支持考勤功能，可对学生的出勤、迟到、缺勤、请假状态进行记录，并支持查看课堂考勤统计报表，可详细查看班级考勤概览数据。</w:t>
            </w:r>
          </w:p>
          <w:p>
            <w:pPr>
              <w:pStyle w:val="null3"/>
            </w:pPr>
            <w:r>
              <w:rPr>
                <w:rFonts w:ascii="仿宋_GB2312" w:hAnsi="仿宋_GB2312" w:cs="仿宋_GB2312" w:eastAsia="仿宋_GB2312"/>
              </w:rPr>
              <w:t>5.支持网页端、PC授课端查看学生成长统计报表，按饼状图形式展现学生课堂表现情况，支持查看班级或学生个人情况，并可追溯每条评价的原因、对象、分值，便于教师进行精准评价。</w:t>
            </w:r>
          </w:p>
          <w:p>
            <w:pPr>
              <w:pStyle w:val="null3"/>
            </w:pPr>
            <w:r>
              <w:rPr>
                <w:rFonts w:ascii="仿宋_GB2312" w:hAnsi="仿宋_GB2312" w:cs="仿宋_GB2312" w:eastAsia="仿宋_GB2312"/>
              </w:rPr>
              <w:t>6.手机端学生档案，支持从思想品德、社会实践、身心健康、学业水平、艺术素养五大维度分析和呈现学生发展情况。网页端学生成长统计档案支持导出excel格式的班级学生评价分数，也可以单个学生的形式导出pdf格式的成长档案。</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教学管理软件（14项）</w:t>
            </w:r>
            <w:r>
              <w:br/>
            </w:r>
            <w:r>
              <w:rPr>
                <w:rFonts w:ascii="仿宋_GB2312" w:hAnsi="仿宋_GB2312" w:cs="仿宋_GB2312" w:eastAsia="仿宋_GB2312"/>
              </w:rPr>
              <w:t xml:space="preserve"> 1.后台采用B/S架构设计，支持学校管理者在Windows、Linux、Android、IOS等多种不同的操作系统上通过网页浏览器登陆进行操作，可统计全校教师软件活跃数据、学生点评及课件上传等数据。</w:t>
            </w:r>
          </w:p>
          <w:p>
            <w:pPr>
              <w:pStyle w:val="null3"/>
            </w:pPr>
            <w:r>
              <w:rPr>
                <w:rFonts w:ascii="仿宋_GB2312" w:hAnsi="仿宋_GB2312" w:cs="仿宋_GB2312" w:eastAsia="仿宋_GB2312"/>
              </w:rPr>
              <w:t>2.支持管理员及教师使用网页端、移动端登录，移动端支持查看网页端数据信息，教师榜单，并定期推送数据分析报表，帮助学校检验信息化教学成果。</w:t>
            </w:r>
          </w:p>
          <w:p>
            <w:pPr>
              <w:pStyle w:val="null3"/>
            </w:pPr>
            <w:r>
              <w:rPr>
                <w:rFonts w:ascii="仿宋_GB2312" w:hAnsi="仿宋_GB2312" w:cs="仿宋_GB2312" w:eastAsia="仿宋_GB2312"/>
              </w:rPr>
              <w:t>3.信息化数据雷达图：将信息化教学数据分五个维度进行评估，分别为课件制作、听课评课、师生互动、互动教学、家校沟通，并与全省均值对比，学校信息化教学情况一目了然。</w:t>
            </w:r>
          </w:p>
          <w:p>
            <w:pPr>
              <w:pStyle w:val="null3"/>
            </w:pPr>
            <w:r>
              <w:rPr>
                <w:rFonts w:ascii="仿宋_GB2312" w:hAnsi="仿宋_GB2312" w:cs="仿宋_GB2312" w:eastAsia="仿宋_GB2312"/>
              </w:rPr>
              <w:t>4.提升实力：一键分析学校信息化教学的待提升项，并将本校信息化教学数值与省最高值进行对比，方便学校了解自身情况和实际差距；同时可通过管理端督促教师开展信息化教学活动，并为管理者预测督促后可提升的指标，督促信息将通过短信触达教师，保证督促效果。</w:t>
            </w:r>
          </w:p>
          <w:p>
            <w:pPr>
              <w:pStyle w:val="null3"/>
            </w:pPr>
            <w:r>
              <w:rPr>
                <w:rFonts w:ascii="仿宋_GB2312" w:hAnsi="仿宋_GB2312" w:cs="仿宋_GB2312" w:eastAsia="仿宋_GB2312"/>
              </w:rPr>
              <w:t>5.教师考勤：具备教师GPS定位打卡考勤功能。学校管理员可设置考勤时间、考勤范围，还可以查看和导出考勤数据报表。教师可在移动端进行GPS考勤，到达学校范围后即激活打卡，支持入校、离校、迟到、早退等多种打卡类型。</w:t>
            </w:r>
          </w:p>
          <w:p>
            <w:pPr>
              <w:pStyle w:val="null3"/>
            </w:pPr>
            <w:r>
              <w:rPr>
                <w:rFonts w:ascii="仿宋_GB2312" w:hAnsi="仿宋_GB2312" w:cs="仿宋_GB2312" w:eastAsia="仿宋_GB2312"/>
              </w:rPr>
              <w:t>6.教研结构：支持管理者按照学段-学科-年级快速创建教师的教研组织结构，方便教师信息的分类管理。</w:t>
            </w:r>
          </w:p>
          <w:p>
            <w:pPr>
              <w:pStyle w:val="null3"/>
            </w:pPr>
            <w:r>
              <w:rPr>
                <w:rFonts w:ascii="仿宋_GB2312" w:hAnsi="仿宋_GB2312" w:cs="仿宋_GB2312" w:eastAsia="仿宋_GB2312"/>
              </w:rPr>
              <w:t>7.具备冰点还原功能，对本机所有数据永久保护。</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AI教学软件（14项）</w:t>
            </w:r>
            <w:r>
              <w:br/>
            </w:r>
            <w:r>
              <w:rPr>
                <w:rFonts w:ascii="仿宋_GB2312" w:hAnsi="仿宋_GB2312" w:cs="仿宋_GB2312" w:eastAsia="仿宋_GB2312"/>
              </w:rPr>
              <w:t xml:space="preserve"> 1.课件主题匹配：支持输入课件主题，以及选择课件授课场景和授课类型生成课件，支持根据备课进度推荐课件主 题，同时支持识别上传云课件、云教案以及本地化文件，让生成的课件内容更精准。</w:t>
            </w:r>
          </w:p>
          <w:p>
            <w:pPr>
              <w:pStyle w:val="null3"/>
            </w:pPr>
            <w:r>
              <w:rPr>
                <w:rFonts w:ascii="仿宋_GB2312" w:hAnsi="仿宋_GB2312" w:cs="仿宋_GB2312" w:eastAsia="仿宋_GB2312"/>
              </w:rPr>
              <w:t>2.课件目标生成：匹配对应的教材版本、年级、主题生成对应的课件目标。</w:t>
            </w:r>
          </w:p>
          <w:p>
            <w:pPr>
              <w:pStyle w:val="null3"/>
            </w:pPr>
            <w:r>
              <w:rPr>
                <w:rFonts w:ascii="仿宋_GB2312" w:hAnsi="仿宋_GB2312" w:cs="仿宋_GB2312" w:eastAsia="仿宋_GB2312"/>
              </w:rPr>
              <w:t>3.课件目标编辑：支持添加、删除、修改教学目标，支持手动编辑输入或人工智能生成对应的教学目标；支持通过人工智能把教学目标生成对应的教学大纲。</w:t>
            </w:r>
          </w:p>
          <w:p>
            <w:pPr>
              <w:pStyle w:val="null3"/>
            </w:pPr>
            <w:r>
              <w:rPr>
                <w:rFonts w:ascii="仿宋_GB2312" w:hAnsi="仿宋_GB2312" w:cs="仿宋_GB2312" w:eastAsia="仿宋_GB2312"/>
              </w:rPr>
              <w:t>4.教学大纲生成：支持以思维导图的形式生成三级教学大纲，教学大纲可根据教学设计内容自动生成课堂活动、思维导图、学科工具等。</w:t>
            </w:r>
          </w:p>
          <w:p>
            <w:pPr>
              <w:pStyle w:val="null3"/>
            </w:pPr>
            <w:r>
              <w:rPr>
                <w:rFonts w:ascii="仿宋_GB2312" w:hAnsi="仿宋_GB2312" w:cs="仿宋_GB2312" w:eastAsia="仿宋_GB2312"/>
              </w:rPr>
              <w:t>5.教学大纲编辑：支持添加二级、三级主题，可手动编辑教学主题，支持对二级主题进行AI拓展，不少于智能拓展、跨学科、新课标三类拓展方式；支持选择三级子主题节点内容，不少于互动、吸引两类节点内容，以AI生成三级子主题。设计界面支持放大缩小，编辑操作支持撤销、恢复。基于教学大纲生成符合教学目标的课件和教案。</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OPS插拔式电脑（14台）</w:t>
            </w:r>
            <w:r>
              <w:br/>
            </w:r>
            <w:r>
              <w:rPr>
                <w:rFonts w:ascii="仿宋_GB2312" w:hAnsi="仿宋_GB2312" w:cs="仿宋_GB2312" w:eastAsia="仿宋_GB2312"/>
              </w:rPr>
              <w:t xml:space="preserve"> 1.采用抽拉内置式模块化电脑，抽拉内置式，PC模块可插入整机，可实现无单独接线的插拔。按压式卡扣方式，无需工具即可快速拆卸电脑模块。</w:t>
            </w:r>
          </w:p>
          <w:p>
            <w:pPr>
              <w:pStyle w:val="null3"/>
            </w:pPr>
            <w:r>
              <w:rPr>
                <w:rFonts w:ascii="仿宋_GB2312" w:hAnsi="仿宋_GB2312" w:cs="仿宋_GB2312" w:eastAsia="仿宋_GB2312"/>
              </w:rPr>
              <w:t>2.搭载不低于Intel 12代酷睿 i5CPU。内存：8GB DDR4笔记本内存或以上配置。硬盘：256GB SSD固态硬盘或以上配置。</w:t>
            </w:r>
          </w:p>
          <w:p>
            <w:pPr>
              <w:pStyle w:val="null3"/>
            </w:pPr>
            <w:r>
              <w:rPr>
                <w:rFonts w:ascii="仿宋_GB2312" w:hAnsi="仿宋_GB2312" w:cs="仿宋_GB2312" w:eastAsia="仿宋_GB2312"/>
              </w:rPr>
              <w:t>3.具有独立非外扩展的电脑USB接口：电脑上至少具备3个USB3.0 接口。</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视频展台（14台）</w:t>
            </w:r>
            <w:r>
              <w:br/>
            </w:r>
            <w:r>
              <w:rPr>
                <w:rFonts w:ascii="仿宋_GB2312" w:hAnsi="仿宋_GB2312" w:cs="仿宋_GB2312" w:eastAsia="仿宋_GB2312"/>
              </w:rPr>
              <w:t xml:space="preserve"> 1.采用USB高速接口，单根USB线实现供电、高清数据传输需求。</w:t>
            </w:r>
          </w:p>
          <w:p>
            <w:pPr>
              <w:pStyle w:val="null3"/>
            </w:pPr>
            <w:r>
              <w:rPr>
                <w:rFonts w:ascii="仿宋_GB2312" w:hAnsi="仿宋_GB2312" w:cs="仿宋_GB2312" w:eastAsia="仿宋_GB2312"/>
              </w:rPr>
              <w:t>2.采用800W像素自动对焦摄像头，可拍摄A4画幅。</w:t>
            </w:r>
          </w:p>
          <w:p>
            <w:pPr>
              <w:pStyle w:val="null3"/>
            </w:pPr>
            <w:r>
              <w:rPr>
                <w:rFonts w:ascii="仿宋_GB2312" w:hAnsi="仿宋_GB2312" w:cs="仿宋_GB2312" w:eastAsia="仿宋_GB2312"/>
              </w:rPr>
              <w:t>3.外壳在摄像头部分带保护镜片密封，防止灰尘沾染摄像头，防护等级达到IP4X级别。</w:t>
            </w:r>
          </w:p>
          <w:p>
            <w:pPr>
              <w:pStyle w:val="null3"/>
            </w:pPr>
            <w:r>
              <w:rPr>
                <w:rFonts w:ascii="仿宋_GB2312" w:hAnsi="仿宋_GB2312" w:cs="仿宋_GB2312" w:eastAsia="仿宋_GB2312"/>
              </w:rPr>
              <w:t>4.支持展台画面实时批注，预设多种笔划粗细及颜色供选择，且支持对展台画面联同批注内容进行同步缩放、移动。</w:t>
            </w:r>
          </w:p>
          <w:p>
            <w:pPr>
              <w:pStyle w:val="null3"/>
            </w:pPr>
            <w:r>
              <w:rPr>
                <w:rFonts w:ascii="仿宋_GB2312" w:hAnsi="仿宋_GB2312" w:cs="仿宋_GB2312" w:eastAsia="仿宋_GB2312"/>
              </w:rPr>
              <w:t>5.支持展台画面拍照截图并进行多图预览，可对任一图片进行全屏显示。 可选择图像、文本或动态三种情景模式，适应不同展示内容。</w:t>
            </w:r>
          </w:p>
        </w:tc>
      </w:tr>
      <w:tr>
        <w:tc>
          <w:tcPr>
            <w:tcW w:type="dxa" w:w="2769"/>
          </w:tcPr>
          <w:p>
            <w:pPr>
              <w:pStyle w:val="null3"/>
            </w:pPr>
            <w:r>
              <w:rPr>
                <w:rFonts w:ascii="仿宋_GB2312" w:hAnsi="仿宋_GB2312" w:cs="仿宋_GB2312" w:eastAsia="仿宋_GB2312"/>
              </w:rPr>
              <w:t>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拆除施工费（14套）</w:t>
            </w:r>
            <w:r>
              <w:br/>
            </w:r>
            <w:r>
              <w:rPr>
                <w:rFonts w:ascii="仿宋_GB2312" w:hAnsi="仿宋_GB2312" w:cs="仿宋_GB2312" w:eastAsia="仿宋_GB2312"/>
              </w:rPr>
              <w:t xml:space="preserve"> 原电子白板人工拆除，运输，垃圾清理，线路整理等。</w:t>
            </w:r>
          </w:p>
        </w:tc>
      </w:tr>
      <w:tr>
        <w:tc>
          <w:tcPr>
            <w:tcW w:type="dxa" w:w="2769"/>
          </w:tcPr>
          <w:p>
            <w:pPr>
              <w:pStyle w:val="null3"/>
            </w:pPr>
            <w:r>
              <w:rPr>
                <w:rFonts w:ascii="仿宋_GB2312" w:hAnsi="仿宋_GB2312" w:cs="仿宋_GB2312" w:eastAsia="仿宋_GB2312"/>
              </w:rPr>
              <w:t>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运输、安装、调试费（14套）</w:t>
            </w:r>
            <w:r>
              <w:br/>
            </w:r>
            <w:r>
              <w:rPr>
                <w:rFonts w:ascii="仿宋_GB2312" w:hAnsi="仿宋_GB2312" w:cs="仿宋_GB2312" w:eastAsia="仿宋_GB2312"/>
              </w:rPr>
              <w:t xml:space="preserve"> 运输、安装、调试费。</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自合同签订之日起20日历天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乾县第一中学</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安装调试完毕，验收合格后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验收标准：硬件（智慧黑板、AI 教学终端等）参数功能、安装规范达标；软件（各智慧管理模块）功能完整、性能稳定、数据对接兼容；服务履约到位，系统安全合规；全部指标满足为合格。验收方法：供应商提交验收申请后，通过资料核查、外观及安装检查、功能测试、系统整合测试完成验收；分初步验收、试运行（30 日历天）、最终验收流程；不合格项限期整改复验。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整体质保三年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违约方承担违约金及实际损失赔偿；争议先协商，协商不成提交项目所在地仲裁委员会仲裁或向法院起诉。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报价是指设备到达使用地点、验收合格达到正常使用条件前的所有费用，包括但不限于以下费用：货物价值、安装调试费、运杂费（含保险）、仓储保管费、技术培训费、检测费、施工费、人工费等及按国家政策征收的一切税费等。（2）为顺利推进政府采购电子化交易平台应用工作，供应商需要在线提交所有通过电子化交易平台实施的政府采购项目的投标文件，同时，线下提交投标文件正本壹份、副本贰份、电子版壹份（U盘1个，包含word、PDF格式投标文件所有内容），全部纸质、电子版资料统一密封在一个密封袋中。若电子化交易平台文件与纸质投标文件不一致的，以电子化交易平台文件为准。线下递交文件时间与线上投标文件提交截止时间一致；线下递交文件地点：陕西省西安市高新区高新六路21号CROSS万象汇6幢1单元7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应提供2024年度的财务报告（至少包括财务报告、资产负债表、利润表（或损益表）、现金流量表，成立时间至提交投标文件截止时间不足一年的可提供成立后任意时段的资产负债表），或其开标前三个月内基本存款账户开户银行出具的资信证明及基本存款账户开户信息，其他组织和自然人提供银行出具的资信证明或财务报表。</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供应商应为具有独立承担民事责任能力的企业法人、事业法人、其他组织或自然人</w:t>
            </w:r>
          </w:p>
        </w:tc>
        <w:tc>
          <w:tcPr>
            <w:tcW w:type="dxa" w:w="3322"/>
          </w:tcPr>
          <w:p>
            <w:pPr>
              <w:pStyle w:val="null3"/>
            </w:pPr>
            <w:r>
              <w:rPr>
                <w:rFonts w:ascii="仿宋_GB2312" w:hAnsi="仿宋_GB2312" w:cs="仿宋_GB2312" w:eastAsia="仿宋_GB2312"/>
              </w:rPr>
              <w:t>供应商应为具有独立承担民事责任能力的企业法人、事业法人、其他组织或自然人，企业法人须提供统一社会信用代码的营业执照、事业单位须提供事业单位法人证、组织机构代码证等证明文件、其他组织应提供合法证明文件、自然人参与的提供其身份证。</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供应商应授权合法的人员参加投标</w:t>
            </w:r>
          </w:p>
        </w:tc>
        <w:tc>
          <w:tcPr>
            <w:tcW w:type="dxa" w:w="3322"/>
          </w:tcPr>
          <w:p>
            <w:pPr>
              <w:pStyle w:val="null3"/>
            </w:pPr>
            <w:r>
              <w:rPr>
                <w:rFonts w:ascii="仿宋_GB2312" w:hAnsi="仿宋_GB2312" w:cs="仿宋_GB2312" w:eastAsia="仿宋_GB2312"/>
              </w:rPr>
              <w:t>供应商应授权合法的人员参加投标，法定代表人（或单位负责人）直接参加的，须出具法定代表人（或单位负责人）身份证明及身份证，并与营业执照上信息一致；授权代表参加的，须出具法定代表人（或单位负责人）授权委托书及被授权人身份证。</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供应商应提供健全的财务会计制度</w:t>
            </w:r>
          </w:p>
        </w:tc>
        <w:tc>
          <w:tcPr>
            <w:tcW w:type="dxa" w:w="3322"/>
          </w:tcPr>
          <w:p>
            <w:pPr>
              <w:pStyle w:val="null3"/>
            </w:pPr>
            <w:r>
              <w:rPr>
                <w:rFonts w:ascii="仿宋_GB2312" w:hAnsi="仿宋_GB2312" w:cs="仿宋_GB2312" w:eastAsia="仿宋_GB2312"/>
              </w:rPr>
              <w:t>供应商需提2024年度的财务报告（至少包括财务报告、资产负债表、利润表（或损益表）、现金流量表，成立时间至递交投标文件截止时间不足一年的可提供成立后任意时段的资产负债表），或其开标前三个月内基本存款账户开户银行出具的资信证明及基本存款账户开户信息，其他组织和自然人提供银行出具的资信证明或财务报表。</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供应商提供投标文件递交截止时间前六个月内任意一月已缴纳的纳税证明或完税证明，依法免税的供应商应提供相关证明文件。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供应商提供投标文件递交截止时间前六个月内任意一月已缴存的社会保障资金缴费证明或参保证明，依法不需要缴纳社会保障资金的供应商应提供相关证明文件。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供应商应具有履行合同所必需的设备和专业技术能力，提供承诺书。</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重大税收违法失信主体名单的供应商、不得为“中国执行信息公开网”网站（zxgk.court.gov.cn）中列入失信被执行人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本项目不接受联合体，提供非联合体投标声明。</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开标一览表附表.docx 标的清单（分项报价表）.docx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符合“投标文件格式”的规定</w:t>
            </w:r>
          </w:p>
        </w:tc>
        <w:tc>
          <w:tcPr>
            <w:tcW w:type="dxa" w:w="1661"/>
          </w:tcPr>
          <w:p>
            <w:pPr>
              <w:pStyle w:val="null3"/>
            </w:pPr>
            <w:r>
              <w:rPr>
                <w:rFonts w:ascii="仿宋_GB2312" w:hAnsi="仿宋_GB2312" w:cs="仿宋_GB2312" w:eastAsia="仿宋_GB2312"/>
              </w:rPr>
              <w:t>技术响应.docx 开标一览表 业绩.docx 产品渠道.docx 培训方案.docx 质量保证.docx 投标人应提交的相关资格证明材料.docx 商务响应偏离表.docx 投标函 售后服务.docx 开标一览表附表.docx 标的清单（分项报价表）.docx 技术响应偏离表.docx 标的清单 投标文件封面 实施方案.docx 陕西省政府采购供应商拒绝政府采购领域商业贿赂承诺书.docx 节能环保、环境标志产品明细表.docx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投标文件格式中要求法定代表人或被授权人的签字处，签字齐全，响应文件加盖电子印章。</w:t>
            </w:r>
          </w:p>
        </w:tc>
        <w:tc>
          <w:tcPr>
            <w:tcW w:type="dxa" w:w="1661"/>
          </w:tcPr>
          <w:p>
            <w:pPr>
              <w:pStyle w:val="null3"/>
            </w:pPr>
            <w:r>
              <w:rPr>
                <w:rFonts w:ascii="仿宋_GB2312" w:hAnsi="仿宋_GB2312" w:cs="仿宋_GB2312" w:eastAsia="仿宋_GB2312"/>
              </w:rPr>
              <w:t>技术响应.docx 开标一览表 业绩.docx 产品渠道.docx 培训方案.docx 质量保证.docx 投标人应提交的相关资格证明材料.docx 商务响应偏离表.docx 投标函 售后服务.docx 开标一览表附表.docx 标的清单（分项报价表）.docx 技术响应偏离表.docx 标的清单 实施方案.docx 投标文件封面 节能环保、环境标志产品明细表.docx 陕西省政府采购供应商拒绝政府采购领域商业贿赂承诺书.docx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提交投标文件的截止之日起不少于90天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投标报价不超过采购预算或最高限价</w:t>
            </w:r>
          </w:p>
        </w:tc>
        <w:tc>
          <w:tcPr>
            <w:tcW w:type="dxa" w:w="1661"/>
          </w:tcPr>
          <w:p>
            <w:pPr>
              <w:pStyle w:val="null3"/>
            </w:pPr>
            <w:r>
              <w:rPr>
                <w:rFonts w:ascii="仿宋_GB2312" w:hAnsi="仿宋_GB2312" w:cs="仿宋_GB2312" w:eastAsia="仿宋_GB2312"/>
              </w:rPr>
              <w:t>开标一览表 开标一览表附表.docx 标的清单（分项报价表）.docx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法律、法规和招标文件中规定的其他实质性要求</w:t>
            </w:r>
          </w:p>
        </w:tc>
        <w:tc>
          <w:tcPr>
            <w:tcW w:type="dxa" w:w="1661"/>
          </w:tcPr>
          <w:p>
            <w:pPr>
              <w:pStyle w:val="null3"/>
            </w:pPr>
            <w:r>
              <w:rPr>
                <w:rFonts w:ascii="仿宋_GB2312" w:hAnsi="仿宋_GB2312" w:cs="仿宋_GB2312" w:eastAsia="仿宋_GB2312"/>
              </w:rPr>
              <w:t>商务响应偏离表.docx 技术响应偏离表.docx 陕西省政府采购供应商拒绝政府采购领域商业贿赂承诺书.docx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评标委员会将根据投标文件中对技术部分的应答，并结合投标人提供的佐证资料等（佐证材料例如：国家认可的检测机构出具的检测报告、制造商检验报告、产品彩页、官网功能截图等任意一种），对技术部分进行综合评价。 投标人所投产品的技术参数和性能要求完全满足招标文件要求的得30分，负偏离每项扣 0.5分，扣完为止。 注：1、完全复制招标文件技术指标要求的，给予10分扣分。 2、若佐证材料低于招标文件规定的相应技术指标、参数时视为负偏离。</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技术响应.docx</w:t>
            </w:r>
          </w:p>
          <w:p>
            <w:pPr>
              <w:pStyle w:val="null3"/>
            </w:pPr>
            <w:r>
              <w:rPr>
                <w:rFonts w:ascii="仿宋_GB2312" w:hAnsi="仿宋_GB2312" w:cs="仿宋_GB2312" w:eastAsia="仿宋_GB2312"/>
              </w:rPr>
              <w:t>投标人认为有必要补充说明的事宜.docx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提供投标人2021年12月1日至今类似项目合同，每提供1个得1分，最高得3分。（以合同签订日期为准） 备注：投标文件中提供合同复印件加盖公章。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p>
            <w:pPr>
              <w:pStyle w:val="null3"/>
            </w:pPr>
            <w:r>
              <w:rPr>
                <w:rFonts w:ascii="仿宋_GB2312" w:hAnsi="仿宋_GB2312" w:cs="仿宋_GB2312" w:eastAsia="仿宋_GB2312"/>
              </w:rPr>
              <w:t>投标人认为有必要补充说明的事宜.docx</w:t>
            </w:r>
          </w:p>
        </w:tc>
      </w:tr>
      <w:tr>
        <w:tc>
          <w:tcPr>
            <w:tcW w:type="dxa" w:w="831"/>
            <w:vMerge/>
          </w:tcPr>
          <w:p/>
        </w:tc>
        <w:tc>
          <w:tcPr>
            <w:tcW w:type="dxa" w:w="1661"/>
          </w:tcPr>
          <w:p>
            <w:pPr>
              <w:pStyle w:val="null3"/>
            </w:pPr>
            <w:r>
              <w:rPr>
                <w:rFonts w:ascii="仿宋_GB2312" w:hAnsi="仿宋_GB2312" w:cs="仿宋_GB2312" w:eastAsia="仿宋_GB2312"/>
              </w:rPr>
              <w:t>产品渠道</w:t>
            </w:r>
          </w:p>
        </w:tc>
        <w:tc>
          <w:tcPr>
            <w:tcW w:type="dxa" w:w="2492"/>
          </w:tcPr>
          <w:p>
            <w:pPr>
              <w:pStyle w:val="null3"/>
            </w:pPr>
            <w:r>
              <w:rPr>
                <w:rFonts w:ascii="仿宋_GB2312" w:hAnsi="仿宋_GB2312" w:cs="仿宋_GB2312" w:eastAsia="仿宋_GB2312"/>
              </w:rPr>
              <w:t>提供所投产品的合法来源渠道证明文件（包括但不限于产品制造商授权、销售协议、代理协议等），每提供一个产品计0.5分，满分2分，未提供不计分。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产品渠道.docx</w:t>
            </w:r>
          </w:p>
          <w:p>
            <w:pPr>
              <w:pStyle w:val="null3"/>
            </w:pPr>
            <w:r>
              <w:rPr>
                <w:rFonts w:ascii="仿宋_GB2312" w:hAnsi="仿宋_GB2312" w:cs="仿宋_GB2312" w:eastAsia="仿宋_GB2312"/>
              </w:rPr>
              <w:t>投标人认为有必要补充说明的事宜.docx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投标人需针对本项目提供完整的项目实施方案。内容包含：①供货方案；②运输、包装方案；③安装、调试方案；④质量保障方案；⑤进度保障方案；并按照以下标准评审： 二、评审标准 1、完整性：方案须全面，对评审内容中的各项要求描述详细； 2、可实施性：切合本项目实际情况，实施步骤清晰、合理； 3、针对性：方案能够紧扣项目实际情况，内容科学合理。 三、赋分依据（满分15分） ①供货方案：每完全满足一个评审标准得1分，不完全满足一个评审标准有瑕疵得0.5分，满分3分；未提供不得分； ②运输、包装方案：每完全满足一个评审标准得1分，不完全满足一个评审标准有瑕疵得0.5分，满分3分；未提供不得分； ③安装、调试方案：每完全满足一个评审标准得1分，不完全满足一个评审标准有瑕疵得0.5分，满分3分；未提供不得分； ④质量保障方案：每完全满足一个评审标准得1分，不完全满足一个评审标准有瑕疵得0.5分，满分3分；未提供不得分； ⑤进度保障方案：每完全满足一个评审标准得1分，不完全满足一个评审标准有瑕疵得0.5分，满分3分；未提供不得分。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投标人认为有必要补充说明的事宜.docx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根据项目实际需求提供售后服务方案。内容包含：①售后服务范围及保障措施②售后服务流程、服务响应时间及响应方式；并按以下标准评审： 二、评审标准 1、完整性：方案须全面，对评审内容中的各项要求有详细描述； 2、可实施性：切合本项目实际情况，实施步骤清晰、合理； 3、针对性：方案能够紧扣项目实际情况，内容科学合理。 三、赋分依据（满分6分） ①售后服务范围及保障措施：每完全满足一个评审标准得1分，不完全满足一个评审标准有瑕疵得0.5分，满分3分，未提供不得分； ②售后服务流程、服务响应时间及响应方式：每完全满足一个评审标准得1分，不完全满足一个评审标准有瑕疵得0.5分，满分3分，未提供不得分。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p>
            <w:pPr>
              <w:pStyle w:val="null3"/>
            </w:pPr>
            <w:r>
              <w:rPr>
                <w:rFonts w:ascii="仿宋_GB2312" w:hAnsi="仿宋_GB2312" w:cs="仿宋_GB2312" w:eastAsia="仿宋_GB2312"/>
              </w:rPr>
              <w:t>投标人认为有必要补充说明的事宜.docx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根据项目实际需求，提供质量保证方案。内容包含：①产品性能、使用寿命及效果②质量保证措施。 二、评审标准 1、完整性：方案须全面，对评审内容中的各项要求有详细描述； 2、可实施性：切合本项目实际情况，实施步骤清晰、合理； 3、针对性：方案能够紧扣项目实际情况，内容科学合理。 三、赋分依据（满分6分） ①产品性能、使用寿命及效果：每完全满足一个评审标准得1分，不完全满足一个评审标准有瑕疵得0.5分，满分3分；未提供不得分； ②质量保证措施:每完全满足一个评审标准得1分，不完全满足一个评审标准有瑕疵得0.5分，满分3分；未提供不得分。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p>
            <w:pPr>
              <w:pStyle w:val="null3"/>
            </w:pPr>
            <w:r>
              <w:rPr>
                <w:rFonts w:ascii="仿宋_GB2312" w:hAnsi="仿宋_GB2312" w:cs="仿宋_GB2312" w:eastAsia="仿宋_GB2312"/>
              </w:rPr>
              <w:t>投标人认为有必要补充说明的事宜.docx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根据项目实际需求提供培训方案。内容包含：①培训方式、培训时间安排②培训范围及内容；并按以下标准评审： 二、评审标准 1、完整性：方案须全面，对评审内容中的各项要求有详细描述； 2、可实施性：切合本项目实际情况，实施步骤清晰、合理； 3、针对性：方案能够紧扣项目实际情况，内容科学合理。 三、赋分依据（满分6分） ①培训方式、培训时间安排：每完全满足一个评审标准得1分，不完全满足一个评审标准有瑕疵得0.5分，满分3分，未提供不得分； ②培训范围及内容：每完全满足一个评审标准得1分，不完全满足一个评审标准有瑕疵得0.5分，满分3分，未提供不得分。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p>
            <w:pPr>
              <w:pStyle w:val="null3"/>
            </w:pPr>
            <w:r>
              <w:rPr>
                <w:rFonts w:ascii="仿宋_GB2312" w:hAnsi="仿宋_GB2312" w:cs="仿宋_GB2312" w:eastAsia="仿宋_GB2312"/>
              </w:rPr>
              <w:t>投标人认为有必要补充说明的事宜.docx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所投产品属于《节能产品政府采购 品目清单》内产品，提供有效期内的节能产品证书，每提供1项得0.5分，属于《环境标志产品政府采购品目清单》内产品的，提供有效期内的环境标志产品证书，每提供1项得0.5分。（备注：以《中国政府采购网》颁布品目清单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节能环保、环境标志产品明细表.docx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投标报价得分=（评标基准价/投标报价）×价格权值×100（因落实政府采购政策进行价格调整的，以调整后的价格计算评标基准价和投标报价）注：计算分数时四舍五入取小数点后两位。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开标一览表附表.docx</w:t>
            </w:r>
          </w:p>
          <w:p>
            <w:pPr>
              <w:pStyle w:val="null3"/>
            </w:pPr>
            <w:r>
              <w:rPr>
                <w:rFonts w:ascii="仿宋_GB2312" w:hAnsi="仿宋_GB2312" w:cs="仿宋_GB2312" w:eastAsia="仿宋_GB2312"/>
              </w:rPr>
              <w:t>标的清单（分项报价表）.docx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开标一览表附表.docx</w:t>
            </w:r>
          </w:p>
          <w:p>
            <w:pPr>
              <w:pStyle w:val="null3"/>
            </w:pPr>
            <w:r>
              <w:rPr>
                <w:rFonts w:ascii="仿宋_GB2312" w:hAnsi="仿宋_GB2312" w:cs="仿宋_GB2312" w:eastAsia="仿宋_GB2312"/>
              </w:rPr>
              <w:t>标的清单（分项报价表）.docx</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详见附件：开标一览表附表.docx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详见附件：标的清单（分项报价表）.docx</w:t>
      </w:r>
    </w:p>
    <w:p>
      <w:pPr>
        <w:pStyle w:val="null3"/>
        <w:ind w:firstLine="960"/>
      </w:pPr>
      <w:r>
        <w:rPr>
          <w:rFonts w:ascii="仿宋_GB2312" w:hAnsi="仿宋_GB2312" w:cs="仿宋_GB2312" w:eastAsia="仿宋_GB2312"/>
        </w:rPr>
        <w:t>详见附件：商务响应偏离表.docx</w:t>
      </w:r>
    </w:p>
    <w:p>
      <w:pPr>
        <w:pStyle w:val="null3"/>
        <w:ind w:firstLine="960"/>
      </w:pPr>
      <w:r>
        <w:rPr>
          <w:rFonts w:ascii="仿宋_GB2312" w:hAnsi="仿宋_GB2312" w:cs="仿宋_GB2312" w:eastAsia="仿宋_GB2312"/>
        </w:rPr>
        <w:t>详见附件：技术响应偏离表.docx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详见附件：技术响应.docx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详见附件：产品渠道.docx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详见附件：节能环保、环境标志产品明细表.docx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详见附件：投标人认为有必要补充说明的事宜.docx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