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41AEF1">
      <w:pPr>
        <w:pStyle w:val="2"/>
        <w:bidi w:val="0"/>
        <w:rPr>
          <w:rFonts w:hint="eastAsia" w:ascii="宋体" w:hAnsi="宋体" w:eastAsia="宋体" w:cs="宋体"/>
          <w:color w:val="auto"/>
          <w:highlight w:val="none"/>
          <w:shd w:val="clear" w:color="auto" w:fill="auto"/>
          <w:lang w:val="zh-CN" w:eastAsia="zh-CN"/>
        </w:rPr>
      </w:pPr>
      <w:r>
        <w:rPr>
          <w:rFonts w:hint="eastAsia" w:ascii="宋体" w:hAnsi="宋体" w:eastAsia="宋体" w:cs="宋体"/>
          <w:color w:val="auto"/>
          <w:highlight w:val="none"/>
          <w:shd w:val="clear" w:color="auto" w:fill="auto"/>
          <w:lang w:val="en-US" w:eastAsia="zh-CN"/>
        </w:rPr>
        <w:t xml:space="preserve"> </w:t>
      </w:r>
      <w:r>
        <w:rPr>
          <w:rFonts w:hint="eastAsia" w:ascii="宋体" w:hAnsi="宋体" w:eastAsia="宋体" w:cs="宋体"/>
          <w:color w:val="auto"/>
          <w:highlight w:val="none"/>
          <w:shd w:val="clear" w:color="auto" w:fill="auto"/>
          <w:lang w:val="zh-CN" w:eastAsia="zh-CN"/>
        </w:rPr>
        <w:t>合同示范文本</w:t>
      </w:r>
    </w:p>
    <w:p w14:paraId="7084D31F">
      <w:pPr>
        <w:pStyle w:val="3"/>
        <w:numPr>
          <w:ilvl w:val="0"/>
          <w:numId w:val="0"/>
        </w:numPr>
        <w:jc w:val="center"/>
        <w:rPr>
          <w:rFonts w:hint="eastAsia" w:ascii="宋体" w:hAnsi="宋体" w:eastAsia="宋体" w:cs="宋体"/>
          <w:color w:val="auto"/>
          <w:highlight w:val="none"/>
          <w:shd w:val="clear" w:color="auto" w:fill="auto"/>
          <w:lang w:val="zh-CN"/>
        </w:rPr>
      </w:pPr>
      <w:r>
        <w:rPr>
          <w:rFonts w:hint="eastAsia" w:ascii="宋体" w:hAnsi="宋体" w:eastAsia="宋体" w:cs="宋体"/>
          <w:color w:val="auto"/>
          <w:highlight w:val="none"/>
          <w:shd w:val="clear" w:color="auto" w:fill="auto"/>
          <w:lang w:val="zh-CN" w:eastAsia="zh-CN"/>
        </w:rPr>
        <w:t>（本合同仅供参考，具体由双方协商）</w:t>
      </w:r>
    </w:p>
    <w:tbl>
      <w:tblPr>
        <w:tblStyle w:val="4"/>
        <w:tblpPr w:leftFromText="180" w:rightFromText="180" w:vertAnchor="text" w:horzAnchor="page" w:tblpX="8500" w:tblpY="224"/>
        <w:tblW w:w="16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6"/>
      </w:tblGrid>
      <w:tr w14:paraId="1E00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636" w:type="dxa"/>
            <w:noWrap w:val="0"/>
            <w:vAlign w:val="center"/>
          </w:tcPr>
          <w:p w14:paraId="54CA7143">
            <w:pPr>
              <w:jc w:val="center"/>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32"/>
                <w:szCs w:val="32"/>
                <w:highlight w:val="none"/>
                <w:shd w:val="clear" w:color="auto" w:fill="auto"/>
              </w:rPr>
              <w:t>公开招标</w:t>
            </w:r>
          </w:p>
        </w:tc>
      </w:tr>
    </w:tbl>
    <w:p w14:paraId="771D3FC8">
      <w:pPr>
        <w:pStyle w:val="3"/>
        <w:numPr>
          <w:ilvl w:val="0"/>
          <w:numId w:val="0"/>
        </w:numPr>
        <w:rPr>
          <w:rFonts w:hint="eastAsia" w:ascii="宋体" w:hAnsi="宋体" w:eastAsia="宋体" w:cs="宋体"/>
          <w:color w:val="auto"/>
          <w:highlight w:val="none"/>
          <w:shd w:val="clear" w:color="auto" w:fill="auto"/>
          <w:lang w:val="zh-CN"/>
        </w:rPr>
      </w:pPr>
    </w:p>
    <w:p w14:paraId="1101E1B1">
      <w:pPr>
        <w:rPr>
          <w:rFonts w:hint="eastAsia" w:ascii="宋体" w:hAnsi="宋体" w:eastAsia="宋体" w:cs="宋体"/>
          <w:b/>
          <w:color w:val="auto"/>
          <w:sz w:val="32"/>
          <w:szCs w:val="32"/>
          <w:highlight w:val="none"/>
          <w:shd w:val="clear" w:color="auto" w:fill="auto"/>
        </w:rPr>
      </w:pPr>
      <w:r>
        <w:rPr>
          <w:rFonts w:hint="eastAsia" w:ascii="宋体" w:hAnsi="宋体" w:eastAsia="宋体" w:cs="宋体"/>
          <w:b/>
          <w:color w:val="auto"/>
          <w:sz w:val="32"/>
          <w:szCs w:val="32"/>
          <w:highlight w:val="none"/>
          <w:shd w:val="clear" w:color="auto" w:fill="auto"/>
        </w:rPr>
        <w:t>政府采购项目</w:t>
      </w:r>
    </w:p>
    <w:p w14:paraId="358F129E">
      <w:pPr>
        <w:rPr>
          <w:rFonts w:hint="eastAsia" w:ascii="宋体" w:hAnsi="宋体" w:eastAsia="宋体" w:cs="宋体"/>
          <w:b/>
          <w:color w:val="auto"/>
          <w:sz w:val="24"/>
          <w:szCs w:val="24"/>
          <w:highlight w:val="none"/>
          <w:shd w:val="clear" w:color="auto" w:fill="auto"/>
        </w:rPr>
      </w:pPr>
    </w:p>
    <w:p w14:paraId="4F3CED41">
      <w:pPr>
        <w:rPr>
          <w:rFonts w:hint="eastAsia" w:ascii="宋体" w:hAnsi="宋体" w:eastAsia="宋体" w:cs="宋体"/>
          <w:b/>
          <w:color w:val="auto"/>
          <w:sz w:val="32"/>
          <w:szCs w:val="32"/>
          <w:highlight w:val="none"/>
          <w:shd w:val="clear" w:color="auto" w:fill="auto"/>
        </w:rPr>
      </w:pPr>
      <w:r>
        <w:rPr>
          <w:rFonts w:hint="eastAsia" w:ascii="宋体" w:hAnsi="宋体" w:eastAsia="宋体" w:cs="宋体"/>
          <w:b/>
          <w:color w:val="auto"/>
          <w:sz w:val="32"/>
          <w:szCs w:val="32"/>
          <w:highlight w:val="none"/>
          <w:shd w:val="clear" w:color="auto" w:fill="auto"/>
        </w:rPr>
        <w:t>合同编号：</w:t>
      </w:r>
    </w:p>
    <w:p w14:paraId="03632766">
      <w:pPr>
        <w:ind w:firstLine="643"/>
        <w:rPr>
          <w:rFonts w:hint="eastAsia" w:ascii="宋体" w:hAnsi="宋体" w:eastAsia="宋体" w:cs="宋体"/>
          <w:b/>
          <w:color w:val="auto"/>
          <w:sz w:val="24"/>
          <w:szCs w:val="24"/>
          <w:highlight w:val="none"/>
          <w:shd w:val="clear" w:color="auto" w:fill="auto"/>
        </w:rPr>
      </w:pPr>
    </w:p>
    <w:p w14:paraId="3530C671">
      <w:pPr>
        <w:ind w:firstLine="964"/>
        <w:jc w:val="center"/>
        <w:rPr>
          <w:rFonts w:hint="eastAsia" w:ascii="宋体" w:hAnsi="宋体" w:eastAsia="宋体" w:cs="宋体"/>
          <w:b/>
          <w:snapToGrid w:val="0"/>
          <w:color w:val="auto"/>
          <w:sz w:val="24"/>
          <w:szCs w:val="24"/>
          <w:highlight w:val="none"/>
          <w:shd w:val="clear" w:color="auto" w:fill="auto"/>
        </w:rPr>
      </w:pPr>
    </w:p>
    <w:p w14:paraId="772784F8">
      <w:pPr>
        <w:spacing w:before="120" w:after="120"/>
        <w:ind w:firstLine="602"/>
        <w:jc w:val="center"/>
        <w:rPr>
          <w:rFonts w:hint="eastAsia" w:ascii="宋体" w:hAnsi="宋体" w:eastAsia="宋体" w:cs="宋体"/>
          <w:b/>
          <w:snapToGrid w:val="0"/>
          <w:color w:val="auto"/>
          <w:sz w:val="30"/>
          <w:szCs w:val="30"/>
          <w:highlight w:val="none"/>
          <w:u w:val="single"/>
          <w:shd w:val="clear" w:color="auto" w:fill="auto"/>
        </w:rPr>
      </w:pPr>
      <w:r>
        <w:rPr>
          <w:rFonts w:hint="eastAsia" w:ascii="宋体" w:hAnsi="宋体" w:eastAsia="宋体" w:cs="宋体"/>
          <w:b/>
          <w:snapToGrid w:val="0"/>
          <w:color w:val="auto"/>
          <w:sz w:val="30"/>
          <w:szCs w:val="30"/>
          <w:highlight w:val="none"/>
          <w:u w:val="single"/>
          <w:shd w:val="clear" w:color="auto" w:fill="auto"/>
        </w:rPr>
        <w:t>（项目名称）</w:t>
      </w:r>
    </w:p>
    <w:p w14:paraId="00E479FC">
      <w:pPr>
        <w:spacing w:before="120" w:after="120"/>
        <w:ind w:firstLine="602"/>
        <w:jc w:val="center"/>
        <w:rPr>
          <w:rFonts w:hint="eastAsia" w:ascii="宋体" w:hAnsi="宋体" w:eastAsia="宋体" w:cs="宋体"/>
          <w:b/>
          <w:bCs/>
          <w:color w:val="auto"/>
          <w:sz w:val="30"/>
          <w:szCs w:val="30"/>
          <w:highlight w:val="none"/>
          <w:shd w:val="clear" w:color="auto" w:fill="auto"/>
        </w:rPr>
      </w:pPr>
    </w:p>
    <w:p w14:paraId="70927392">
      <w:pPr>
        <w:spacing w:before="120" w:after="120"/>
        <w:ind w:firstLine="602"/>
        <w:jc w:val="center"/>
        <w:rPr>
          <w:rFonts w:hint="eastAsia" w:ascii="宋体" w:hAnsi="宋体" w:eastAsia="宋体" w:cs="宋体"/>
          <w:b/>
          <w:bCs/>
          <w:color w:val="auto"/>
          <w:sz w:val="30"/>
          <w:szCs w:val="30"/>
          <w:highlight w:val="none"/>
          <w:shd w:val="clear" w:color="auto" w:fill="auto"/>
        </w:rPr>
      </w:pPr>
      <w:r>
        <w:rPr>
          <w:rFonts w:hint="eastAsia" w:ascii="宋体" w:hAnsi="宋体" w:eastAsia="宋体" w:cs="宋体"/>
          <w:b/>
          <w:bCs/>
          <w:color w:val="auto"/>
          <w:sz w:val="30"/>
          <w:szCs w:val="30"/>
          <w:highlight w:val="none"/>
          <w:shd w:val="clear" w:color="auto" w:fill="auto"/>
        </w:rPr>
        <w:t>（项目编号：</w:t>
      </w:r>
      <w:r>
        <w:rPr>
          <w:rFonts w:hint="eastAsia" w:ascii="宋体" w:hAnsi="宋体" w:eastAsia="宋体" w:cs="宋体"/>
          <w:b/>
          <w:bCs/>
          <w:color w:val="auto"/>
          <w:sz w:val="30"/>
          <w:szCs w:val="30"/>
          <w:highlight w:val="none"/>
          <w:u w:val="single"/>
          <w:shd w:val="clear" w:color="auto" w:fill="auto"/>
        </w:rPr>
        <w:t xml:space="preserve">            </w:t>
      </w:r>
      <w:r>
        <w:rPr>
          <w:rFonts w:hint="eastAsia" w:ascii="宋体" w:hAnsi="宋体" w:eastAsia="宋体" w:cs="宋体"/>
          <w:b/>
          <w:bCs/>
          <w:color w:val="auto"/>
          <w:sz w:val="30"/>
          <w:szCs w:val="30"/>
          <w:highlight w:val="none"/>
          <w:shd w:val="clear" w:color="auto" w:fill="auto"/>
        </w:rPr>
        <w:t>）</w:t>
      </w:r>
    </w:p>
    <w:p w14:paraId="3B93CE05">
      <w:pPr>
        <w:pStyle w:val="6"/>
        <w:rPr>
          <w:rFonts w:hint="eastAsia" w:ascii="宋体" w:hAnsi="宋体" w:eastAsia="宋体" w:cs="宋体"/>
          <w:b/>
          <w:snapToGrid w:val="0"/>
          <w:color w:val="auto"/>
          <w:sz w:val="24"/>
          <w:szCs w:val="24"/>
          <w:highlight w:val="none"/>
          <w:shd w:val="clear" w:color="auto" w:fill="auto"/>
        </w:rPr>
      </w:pPr>
    </w:p>
    <w:p w14:paraId="6FC966CF">
      <w:pPr>
        <w:pStyle w:val="6"/>
        <w:rPr>
          <w:rFonts w:hint="eastAsia" w:ascii="宋体" w:hAnsi="宋体" w:eastAsia="宋体" w:cs="宋体"/>
          <w:b/>
          <w:snapToGrid w:val="0"/>
          <w:color w:val="auto"/>
          <w:sz w:val="24"/>
          <w:szCs w:val="24"/>
          <w:highlight w:val="none"/>
          <w:shd w:val="clear" w:color="auto" w:fill="auto"/>
        </w:rPr>
      </w:pPr>
    </w:p>
    <w:p w14:paraId="543DD574">
      <w:pPr>
        <w:jc w:val="center"/>
        <w:rPr>
          <w:rFonts w:hint="eastAsia" w:ascii="宋体" w:hAnsi="宋体" w:eastAsia="宋体" w:cs="宋体"/>
          <w:b/>
          <w:color w:val="auto"/>
          <w:sz w:val="72"/>
          <w:szCs w:val="72"/>
          <w:highlight w:val="none"/>
          <w:shd w:val="clear" w:color="auto" w:fill="auto"/>
        </w:rPr>
      </w:pPr>
      <w:r>
        <w:rPr>
          <w:rFonts w:hint="eastAsia" w:ascii="宋体" w:hAnsi="宋体" w:eastAsia="宋体" w:cs="宋体"/>
          <w:b/>
          <w:color w:val="auto"/>
          <w:sz w:val="72"/>
          <w:szCs w:val="72"/>
          <w:highlight w:val="none"/>
          <w:shd w:val="clear" w:color="auto" w:fill="auto"/>
        </w:rPr>
        <w:t xml:space="preserve"> 合 同</w:t>
      </w:r>
    </w:p>
    <w:p w14:paraId="756E24A1">
      <w:pPr>
        <w:ind w:firstLine="600"/>
        <w:jc w:val="center"/>
        <w:rPr>
          <w:rFonts w:hint="eastAsia" w:ascii="宋体" w:hAnsi="宋体" w:eastAsia="宋体" w:cs="宋体"/>
          <w:color w:val="auto"/>
          <w:sz w:val="24"/>
          <w:szCs w:val="24"/>
          <w:highlight w:val="none"/>
          <w:shd w:val="clear" w:color="auto" w:fill="auto"/>
        </w:rPr>
      </w:pPr>
    </w:p>
    <w:p w14:paraId="4A2E3C76">
      <w:pPr>
        <w:rPr>
          <w:rFonts w:hint="eastAsia" w:ascii="宋体" w:hAnsi="宋体" w:eastAsia="宋体" w:cs="宋体"/>
          <w:color w:val="auto"/>
          <w:sz w:val="24"/>
          <w:szCs w:val="24"/>
          <w:highlight w:val="none"/>
          <w:shd w:val="clear" w:color="auto" w:fill="auto"/>
        </w:rPr>
      </w:pPr>
    </w:p>
    <w:p w14:paraId="6AF30276">
      <w:pPr>
        <w:ind w:firstLine="1560" w:firstLineChars="650"/>
        <w:rPr>
          <w:rFonts w:hint="eastAsia" w:ascii="宋体" w:hAnsi="宋体" w:eastAsia="宋体" w:cs="宋体"/>
          <w:color w:val="auto"/>
          <w:sz w:val="24"/>
          <w:szCs w:val="24"/>
          <w:highlight w:val="none"/>
          <w:shd w:val="clear" w:color="auto" w:fill="auto"/>
        </w:rPr>
      </w:pPr>
    </w:p>
    <w:p w14:paraId="5E468149">
      <w:pPr>
        <w:ind w:firstLine="1560" w:firstLineChars="650"/>
        <w:rPr>
          <w:rFonts w:hint="eastAsia" w:ascii="宋体" w:hAnsi="宋体" w:eastAsia="宋体" w:cs="宋体"/>
          <w:color w:val="auto"/>
          <w:sz w:val="24"/>
          <w:szCs w:val="24"/>
          <w:highlight w:val="none"/>
          <w:shd w:val="clear" w:color="auto" w:fill="auto"/>
        </w:rPr>
      </w:pPr>
    </w:p>
    <w:p w14:paraId="68539A09">
      <w:pPr>
        <w:ind w:firstLine="1560" w:firstLineChars="650"/>
        <w:rPr>
          <w:rFonts w:hint="eastAsia" w:ascii="宋体" w:hAnsi="宋体" w:eastAsia="宋体" w:cs="宋体"/>
          <w:color w:val="auto"/>
          <w:sz w:val="24"/>
          <w:szCs w:val="24"/>
          <w:highlight w:val="none"/>
          <w:shd w:val="clear" w:color="auto" w:fill="auto"/>
        </w:rPr>
      </w:pPr>
    </w:p>
    <w:p w14:paraId="470CEE14">
      <w:pPr>
        <w:ind w:firstLine="1560" w:firstLineChars="650"/>
        <w:rPr>
          <w:rFonts w:hint="eastAsia" w:ascii="宋体" w:hAnsi="宋体" w:eastAsia="宋体" w:cs="宋体"/>
          <w:color w:val="auto"/>
          <w:sz w:val="24"/>
          <w:szCs w:val="24"/>
          <w:highlight w:val="none"/>
          <w:shd w:val="clear" w:color="auto" w:fill="auto"/>
        </w:rPr>
      </w:pPr>
    </w:p>
    <w:p w14:paraId="5F24012F">
      <w:pPr>
        <w:ind w:firstLine="2080" w:firstLineChars="650"/>
        <w:rPr>
          <w:rFonts w:hint="eastAsia" w:ascii="宋体" w:hAnsi="宋体" w:eastAsia="宋体" w:cs="宋体"/>
          <w:color w:val="auto"/>
          <w:sz w:val="32"/>
          <w:szCs w:val="32"/>
          <w:highlight w:val="none"/>
          <w:shd w:val="clear" w:color="auto" w:fill="auto"/>
        </w:rPr>
      </w:pPr>
    </w:p>
    <w:p w14:paraId="173FE9A0">
      <w:pPr>
        <w:ind w:firstLine="2080" w:firstLineChars="650"/>
        <w:rPr>
          <w:rFonts w:hint="eastAsia" w:ascii="宋体" w:hAnsi="宋体" w:eastAsia="宋体" w:cs="宋体"/>
          <w:color w:val="auto"/>
          <w:sz w:val="32"/>
          <w:szCs w:val="32"/>
          <w:highlight w:val="none"/>
          <w:shd w:val="clear" w:color="auto" w:fill="auto"/>
        </w:rPr>
      </w:pPr>
      <w:r>
        <w:rPr>
          <w:rFonts w:hint="eastAsia" w:ascii="宋体" w:hAnsi="宋体" w:eastAsia="宋体" w:cs="宋体"/>
          <w:color w:val="auto"/>
          <w:sz w:val="32"/>
          <w:szCs w:val="32"/>
          <w:highlight w:val="none"/>
          <w:shd w:val="clear" w:color="auto" w:fill="auto"/>
        </w:rPr>
        <w:t>甲  方：</w:t>
      </w:r>
    </w:p>
    <w:p w14:paraId="545FD414">
      <w:pPr>
        <w:tabs>
          <w:tab w:val="left" w:pos="480"/>
        </w:tabs>
        <w:ind w:firstLine="640"/>
        <w:rPr>
          <w:rFonts w:hint="eastAsia" w:ascii="宋体" w:hAnsi="宋体" w:eastAsia="宋体" w:cs="宋体"/>
          <w:color w:val="auto"/>
          <w:sz w:val="32"/>
          <w:szCs w:val="32"/>
          <w:highlight w:val="none"/>
          <w:shd w:val="clear" w:color="auto" w:fill="auto"/>
        </w:rPr>
      </w:pPr>
      <w:r>
        <w:rPr>
          <w:rFonts w:hint="eastAsia" w:ascii="宋体" w:hAnsi="宋体" w:eastAsia="宋体" w:cs="宋体"/>
          <w:color w:val="auto"/>
          <w:sz w:val="32"/>
          <w:szCs w:val="32"/>
          <w:highlight w:val="none"/>
          <w:shd w:val="clear" w:color="auto" w:fill="auto"/>
        </w:rPr>
        <w:t xml:space="preserve">         乙  方：</w:t>
      </w:r>
    </w:p>
    <w:p w14:paraId="44B11BF8">
      <w:pPr>
        <w:jc w:val="center"/>
        <w:rPr>
          <w:rFonts w:hint="eastAsia" w:ascii="宋体" w:hAnsi="宋体" w:eastAsia="宋体" w:cs="宋体"/>
          <w:color w:val="auto"/>
          <w:sz w:val="32"/>
          <w:szCs w:val="32"/>
          <w:highlight w:val="none"/>
          <w:shd w:val="clear" w:color="auto" w:fill="auto"/>
        </w:rPr>
      </w:pPr>
    </w:p>
    <w:p w14:paraId="2F363354">
      <w:pPr>
        <w:jc w:val="center"/>
        <w:rPr>
          <w:rFonts w:hint="eastAsia" w:ascii="宋体" w:hAnsi="宋体" w:eastAsia="宋体" w:cs="宋体"/>
          <w:color w:val="auto"/>
          <w:sz w:val="32"/>
          <w:szCs w:val="32"/>
          <w:highlight w:val="none"/>
          <w:shd w:val="clear" w:color="auto" w:fill="auto"/>
          <w:lang w:eastAsia="zh-CN"/>
        </w:rPr>
      </w:pPr>
      <w:r>
        <w:rPr>
          <w:rFonts w:hint="eastAsia" w:ascii="宋体" w:hAnsi="宋体" w:eastAsia="宋体" w:cs="宋体"/>
          <w:color w:val="auto"/>
          <w:sz w:val="32"/>
          <w:szCs w:val="32"/>
          <w:highlight w:val="none"/>
          <w:shd w:val="clear" w:color="auto" w:fill="auto"/>
          <w:lang w:val="en-US" w:eastAsia="zh-CN"/>
        </w:rPr>
        <w:t xml:space="preserve"> </w:t>
      </w:r>
      <w:r>
        <w:rPr>
          <w:rFonts w:hint="eastAsia" w:ascii="宋体" w:hAnsi="宋体" w:eastAsia="宋体" w:cs="宋体"/>
          <w:color w:val="auto"/>
          <w:sz w:val="32"/>
          <w:szCs w:val="32"/>
          <w:highlight w:val="none"/>
          <w:shd w:val="clear" w:color="auto" w:fill="auto"/>
        </w:rPr>
        <w:t xml:space="preserve">年  </w:t>
      </w:r>
      <w:r>
        <w:rPr>
          <w:rFonts w:hint="eastAsia" w:ascii="宋体" w:hAnsi="宋体" w:eastAsia="宋体" w:cs="宋体"/>
          <w:color w:val="auto"/>
          <w:sz w:val="32"/>
          <w:szCs w:val="32"/>
          <w:highlight w:val="none"/>
          <w:shd w:val="clear" w:color="auto" w:fill="auto"/>
          <w:lang w:val="en-US" w:eastAsia="zh-CN"/>
        </w:rPr>
        <w:t xml:space="preserve">  </w:t>
      </w:r>
      <w:r>
        <w:rPr>
          <w:rFonts w:hint="eastAsia" w:ascii="宋体" w:hAnsi="宋体" w:eastAsia="宋体" w:cs="宋体"/>
          <w:color w:val="auto"/>
          <w:sz w:val="32"/>
          <w:szCs w:val="32"/>
          <w:highlight w:val="none"/>
          <w:shd w:val="clear" w:color="auto" w:fill="auto"/>
        </w:rPr>
        <w:t>月</w:t>
      </w:r>
      <w:r>
        <w:rPr>
          <w:rFonts w:hint="eastAsia" w:ascii="宋体" w:hAnsi="宋体" w:eastAsia="宋体" w:cs="宋体"/>
          <w:color w:val="auto"/>
          <w:sz w:val="32"/>
          <w:szCs w:val="32"/>
          <w:highlight w:val="none"/>
          <w:shd w:val="clear" w:color="auto" w:fill="auto"/>
          <w:lang w:val="en-US" w:eastAsia="zh-CN"/>
        </w:rPr>
        <w:t xml:space="preserve">    </w:t>
      </w:r>
      <w:r>
        <w:rPr>
          <w:rFonts w:hint="eastAsia" w:ascii="宋体" w:hAnsi="宋体" w:eastAsia="宋体" w:cs="宋体"/>
          <w:color w:val="auto"/>
          <w:sz w:val="32"/>
          <w:szCs w:val="32"/>
          <w:highlight w:val="none"/>
          <w:shd w:val="clear" w:color="auto" w:fill="auto"/>
          <w:lang w:eastAsia="zh-CN"/>
        </w:rPr>
        <w:t>日</w:t>
      </w:r>
    </w:p>
    <w:p w14:paraId="68895F73">
      <w:pPr>
        <w:jc w:val="center"/>
        <w:rPr>
          <w:rFonts w:hint="eastAsia" w:ascii="宋体" w:hAnsi="宋体" w:eastAsia="宋体" w:cs="宋体"/>
          <w:color w:val="auto"/>
          <w:sz w:val="32"/>
          <w:szCs w:val="32"/>
          <w:highlight w:val="none"/>
          <w:shd w:val="clear" w:color="auto" w:fill="auto"/>
        </w:rPr>
      </w:pPr>
    </w:p>
    <w:p w14:paraId="47E61998">
      <w:pPr>
        <w:spacing w:line="360" w:lineRule="auto"/>
        <w:ind w:firstLine="420" w:firstLineChars="2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甲方：</w:t>
      </w:r>
    </w:p>
    <w:p w14:paraId="1C73F565">
      <w:pPr>
        <w:spacing w:line="360" w:lineRule="auto"/>
        <w:ind w:firstLine="420" w:firstLineChars="2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乙方：</w:t>
      </w:r>
    </w:p>
    <w:p w14:paraId="70D52361">
      <w:pPr>
        <w:spacing w:line="360" w:lineRule="auto"/>
        <w:ind w:firstLine="420" w:firstLineChars="2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在陕西省财政厅政府采购管理处的监督管理下，按照政府采购程序组织公开招标，确定乙方为中标供应商。依据《中华人民共和国政府采购法》、《中华人民共和国民法典》以及招标文件、中标供应商的投标文件正本和澄清表（函）、中标通知书，经甲、乙双方协商，达成如下条款：</w:t>
      </w:r>
    </w:p>
    <w:p w14:paraId="35B28CAA">
      <w:pPr>
        <w:tabs>
          <w:tab w:val="left" w:pos="480"/>
        </w:tabs>
        <w:spacing w:line="360" w:lineRule="auto"/>
        <w:ind w:firstLine="422" w:firstLineChars="200"/>
        <w:rPr>
          <w:rFonts w:hint="eastAsia" w:ascii="宋体" w:hAnsi="宋体" w:eastAsia="宋体" w:cs="宋体"/>
          <w:color w:val="auto"/>
          <w:sz w:val="21"/>
          <w:szCs w:val="21"/>
          <w:highlight w:val="none"/>
          <w:shd w:val="clear" w:color="auto" w:fill="auto"/>
        </w:rPr>
      </w:pPr>
      <w:r>
        <w:rPr>
          <w:rFonts w:hint="eastAsia" w:ascii="宋体" w:hAnsi="宋体" w:eastAsia="宋体" w:cs="宋体"/>
          <w:b/>
          <w:color w:val="auto"/>
          <w:sz w:val="21"/>
          <w:szCs w:val="21"/>
          <w:highlight w:val="none"/>
          <w:shd w:val="clear" w:color="auto" w:fill="auto"/>
        </w:rPr>
        <w:t>一、合同标的物内容及数量</w:t>
      </w:r>
      <w:r>
        <w:rPr>
          <w:rFonts w:hint="eastAsia" w:ascii="宋体" w:hAnsi="宋体" w:eastAsia="宋体" w:cs="宋体"/>
          <w:color w:val="auto"/>
          <w:sz w:val="21"/>
          <w:szCs w:val="21"/>
          <w:highlight w:val="none"/>
          <w:shd w:val="clear" w:color="auto" w:fill="auto"/>
        </w:rPr>
        <w:t>（以投标文件正本和澄清表〈函〉为准）</w:t>
      </w:r>
    </w:p>
    <w:p w14:paraId="7B672915">
      <w:pPr>
        <w:tabs>
          <w:tab w:val="left" w:pos="480"/>
        </w:tabs>
        <w:spacing w:line="360" w:lineRule="auto"/>
        <w:ind w:firstLine="420" w:firstLineChars="2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项目名称：</w:t>
      </w:r>
      <w:r>
        <w:rPr>
          <w:rFonts w:hint="eastAsia" w:ascii="宋体" w:hAnsi="宋体" w:eastAsia="宋体" w:cs="宋体"/>
          <w:color w:val="auto"/>
          <w:sz w:val="21"/>
          <w:szCs w:val="21"/>
          <w:highlight w:val="none"/>
          <w:u w:val="single"/>
          <w:shd w:val="clear" w:color="auto" w:fill="auto"/>
        </w:rPr>
        <w:t xml:space="preserve">                                 </w:t>
      </w:r>
    </w:p>
    <w:p w14:paraId="436478A2">
      <w:pPr>
        <w:tabs>
          <w:tab w:val="left" w:pos="480"/>
        </w:tabs>
        <w:spacing w:line="360" w:lineRule="auto"/>
        <w:ind w:firstLine="420" w:firstLineChars="200"/>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项目编号：</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shd w:val="clear" w:color="auto" w:fill="auto"/>
          <w:lang w:val="en-US" w:eastAsia="zh-CN"/>
        </w:rPr>
        <w:t xml:space="preserve">      </w:t>
      </w:r>
    </w:p>
    <w:p w14:paraId="14E178FB">
      <w:pPr>
        <w:tabs>
          <w:tab w:val="left" w:pos="480"/>
        </w:tabs>
        <w:spacing w:line="360" w:lineRule="auto"/>
        <w:ind w:firstLine="420" w:firstLineChars="200"/>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1"/>
          <w:szCs w:val="21"/>
          <w:highlight w:val="none"/>
          <w:shd w:val="clear" w:color="auto" w:fill="auto"/>
        </w:rPr>
        <w:t>具体内容如下：</w:t>
      </w:r>
    </w:p>
    <w:tbl>
      <w:tblPr>
        <w:tblStyle w:val="4"/>
        <w:tblpPr w:leftFromText="180" w:rightFromText="180" w:vertAnchor="text" w:horzAnchor="page" w:tblpX="1710" w:tblpY="489"/>
        <w:tblOverlap w:val="never"/>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634"/>
        <w:gridCol w:w="1073"/>
        <w:gridCol w:w="1233"/>
        <w:gridCol w:w="1316"/>
        <w:gridCol w:w="2211"/>
        <w:gridCol w:w="1272"/>
      </w:tblGrid>
      <w:tr w14:paraId="4949A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center"/>
          </w:tcPr>
          <w:p w14:paraId="415D92F8">
            <w:pPr>
              <w:tabs>
                <w:tab w:val="left" w:pos="480"/>
              </w:tabs>
              <w:spacing w:line="360" w:lineRule="auto"/>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序号</w:t>
            </w:r>
          </w:p>
        </w:tc>
        <w:tc>
          <w:tcPr>
            <w:tcW w:w="1634" w:type="dxa"/>
            <w:tcBorders>
              <w:top w:val="single" w:color="auto" w:sz="4" w:space="0"/>
              <w:left w:val="single" w:color="auto" w:sz="4" w:space="0"/>
              <w:bottom w:val="single" w:color="auto" w:sz="4" w:space="0"/>
              <w:right w:val="single" w:color="auto" w:sz="4" w:space="0"/>
            </w:tcBorders>
            <w:noWrap w:val="0"/>
            <w:vAlign w:val="center"/>
          </w:tcPr>
          <w:p w14:paraId="3AC7B627">
            <w:pPr>
              <w:tabs>
                <w:tab w:val="left" w:pos="480"/>
              </w:tabs>
              <w:spacing w:line="360" w:lineRule="auto"/>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名称</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3540C75F">
            <w:pPr>
              <w:tabs>
                <w:tab w:val="left" w:pos="480"/>
              </w:tabs>
              <w:spacing w:line="360" w:lineRule="auto"/>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数量</w:t>
            </w:r>
          </w:p>
        </w:tc>
        <w:tc>
          <w:tcPr>
            <w:tcW w:w="1233" w:type="dxa"/>
            <w:tcBorders>
              <w:top w:val="single" w:color="auto" w:sz="4" w:space="0"/>
              <w:left w:val="single" w:color="auto" w:sz="4" w:space="0"/>
              <w:bottom w:val="single" w:color="auto" w:sz="4" w:space="0"/>
              <w:right w:val="single" w:color="auto" w:sz="4" w:space="0"/>
            </w:tcBorders>
            <w:noWrap w:val="0"/>
            <w:vAlign w:val="center"/>
          </w:tcPr>
          <w:p w14:paraId="77F930DA">
            <w:pPr>
              <w:tabs>
                <w:tab w:val="left" w:pos="480"/>
              </w:tabs>
              <w:spacing w:line="360" w:lineRule="auto"/>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产地</w:t>
            </w:r>
          </w:p>
        </w:tc>
        <w:tc>
          <w:tcPr>
            <w:tcW w:w="1316" w:type="dxa"/>
            <w:tcBorders>
              <w:top w:val="single" w:color="auto" w:sz="4" w:space="0"/>
              <w:left w:val="single" w:color="auto" w:sz="4" w:space="0"/>
              <w:bottom w:val="single" w:color="auto" w:sz="4" w:space="0"/>
              <w:right w:val="single" w:color="auto" w:sz="4" w:space="0"/>
            </w:tcBorders>
            <w:noWrap w:val="0"/>
            <w:vAlign w:val="center"/>
          </w:tcPr>
          <w:p w14:paraId="1F834E7E">
            <w:pPr>
              <w:tabs>
                <w:tab w:val="left" w:pos="480"/>
              </w:tabs>
              <w:spacing w:line="360" w:lineRule="auto"/>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品牌</w:t>
            </w:r>
          </w:p>
        </w:tc>
        <w:tc>
          <w:tcPr>
            <w:tcW w:w="2211" w:type="dxa"/>
            <w:tcBorders>
              <w:top w:val="single" w:color="auto" w:sz="4" w:space="0"/>
              <w:left w:val="single" w:color="auto" w:sz="4" w:space="0"/>
              <w:bottom w:val="single" w:color="auto" w:sz="4" w:space="0"/>
              <w:right w:val="single" w:color="auto" w:sz="4" w:space="0"/>
            </w:tcBorders>
            <w:noWrap w:val="0"/>
            <w:vAlign w:val="center"/>
          </w:tcPr>
          <w:p w14:paraId="62E4E56A">
            <w:pPr>
              <w:tabs>
                <w:tab w:val="left" w:pos="480"/>
              </w:tabs>
              <w:spacing w:line="360" w:lineRule="auto"/>
              <w:jc w:val="center"/>
              <w:rPr>
                <w:rFonts w:hint="eastAsia" w:ascii="宋体" w:hAnsi="宋体" w:eastAsia="宋体" w:cs="宋体"/>
                <w:color w:val="auto"/>
                <w:sz w:val="21"/>
                <w:szCs w:val="21"/>
                <w:highlight w:val="none"/>
                <w:shd w:val="clear" w:color="auto" w:fill="auto"/>
                <w:lang w:val="en-US" w:eastAsia="zh-CN"/>
              </w:rPr>
            </w:pPr>
            <w:r>
              <w:rPr>
                <w:rFonts w:hint="eastAsia" w:ascii="宋体" w:hAnsi="宋体" w:cs="宋体"/>
                <w:color w:val="auto"/>
                <w:sz w:val="21"/>
                <w:szCs w:val="21"/>
                <w:highlight w:val="none"/>
                <w:shd w:val="clear" w:color="auto" w:fill="auto"/>
                <w:lang w:val="en-US" w:eastAsia="zh-CN"/>
              </w:rPr>
              <w:t>单价</w:t>
            </w:r>
          </w:p>
        </w:tc>
        <w:tc>
          <w:tcPr>
            <w:tcW w:w="1272" w:type="dxa"/>
            <w:tcBorders>
              <w:top w:val="single" w:color="auto" w:sz="4" w:space="0"/>
              <w:left w:val="single" w:color="auto" w:sz="4" w:space="0"/>
              <w:bottom w:val="single" w:color="auto" w:sz="4" w:space="0"/>
              <w:right w:val="single" w:color="auto" w:sz="4" w:space="0"/>
            </w:tcBorders>
            <w:noWrap w:val="0"/>
            <w:vAlign w:val="center"/>
          </w:tcPr>
          <w:p w14:paraId="2CF9D9A5">
            <w:pPr>
              <w:tabs>
                <w:tab w:val="left" w:pos="480"/>
              </w:tabs>
              <w:spacing w:line="360" w:lineRule="auto"/>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备注</w:t>
            </w:r>
          </w:p>
        </w:tc>
      </w:tr>
      <w:tr w14:paraId="10000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center"/>
          </w:tcPr>
          <w:p w14:paraId="0735B4D8">
            <w:pPr>
              <w:tabs>
                <w:tab w:val="left" w:pos="480"/>
              </w:tabs>
              <w:spacing w:line="360" w:lineRule="auto"/>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1</w:t>
            </w:r>
          </w:p>
        </w:tc>
        <w:tc>
          <w:tcPr>
            <w:tcW w:w="1634" w:type="dxa"/>
            <w:tcBorders>
              <w:top w:val="single" w:color="auto" w:sz="4" w:space="0"/>
              <w:left w:val="single" w:color="auto" w:sz="4" w:space="0"/>
              <w:bottom w:val="single" w:color="auto" w:sz="4" w:space="0"/>
              <w:right w:val="single" w:color="auto" w:sz="4" w:space="0"/>
            </w:tcBorders>
            <w:noWrap w:val="0"/>
            <w:vAlign w:val="center"/>
          </w:tcPr>
          <w:p w14:paraId="1A7B0A0B">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073" w:type="dxa"/>
            <w:tcBorders>
              <w:top w:val="single" w:color="auto" w:sz="4" w:space="0"/>
              <w:left w:val="single" w:color="auto" w:sz="4" w:space="0"/>
              <w:bottom w:val="single" w:color="auto" w:sz="4" w:space="0"/>
              <w:right w:val="single" w:color="auto" w:sz="4" w:space="0"/>
            </w:tcBorders>
            <w:noWrap w:val="0"/>
            <w:vAlign w:val="center"/>
          </w:tcPr>
          <w:p w14:paraId="37779498">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233" w:type="dxa"/>
            <w:tcBorders>
              <w:top w:val="single" w:color="auto" w:sz="4" w:space="0"/>
              <w:left w:val="single" w:color="auto" w:sz="4" w:space="0"/>
              <w:bottom w:val="single" w:color="auto" w:sz="4" w:space="0"/>
              <w:right w:val="single" w:color="auto" w:sz="4" w:space="0"/>
            </w:tcBorders>
            <w:noWrap w:val="0"/>
            <w:vAlign w:val="center"/>
          </w:tcPr>
          <w:p w14:paraId="64C5AB88">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316" w:type="dxa"/>
            <w:tcBorders>
              <w:top w:val="single" w:color="auto" w:sz="4" w:space="0"/>
              <w:left w:val="single" w:color="auto" w:sz="4" w:space="0"/>
              <w:bottom w:val="single" w:color="auto" w:sz="4" w:space="0"/>
              <w:right w:val="single" w:color="auto" w:sz="4" w:space="0"/>
            </w:tcBorders>
            <w:noWrap w:val="0"/>
            <w:vAlign w:val="center"/>
          </w:tcPr>
          <w:p w14:paraId="4040EA2A">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2211" w:type="dxa"/>
            <w:tcBorders>
              <w:top w:val="single" w:color="auto" w:sz="4" w:space="0"/>
              <w:left w:val="single" w:color="auto" w:sz="4" w:space="0"/>
              <w:bottom w:val="single" w:color="auto" w:sz="4" w:space="0"/>
              <w:right w:val="single" w:color="auto" w:sz="4" w:space="0"/>
            </w:tcBorders>
            <w:noWrap w:val="0"/>
            <w:vAlign w:val="center"/>
          </w:tcPr>
          <w:p w14:paraId="654E9640">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7BB2CBB8">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r>
      <w:tr w14:paraId="7C695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center"/>
          </w:tcPr>
          <w:p w14:paraId="27507EB8">
            <w:pPr>
              <w:tabs>
                <w:tab w:val="left" w:pos="480"/>
              </w:tabs>
              <w:spacing w:line="360" w:lineRule="auto"/>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2</w:t>
            </w:r>
          </w:p>
        </w:tc>
        <w:tc>
          <w:tcPr>
            <w:tcW w:w="1634" w:type="dxa"/>
            <w:tcBorders>
              <w:top w:val="single" w:color="auto" w:sz="4" w:space="0"/>
              <w:left w:val="single" w:color="auto" w:sz="4" w:space="0"/>
              <w:bottom w:val="single" w:color="auto" w:sz="4" w:space="0"/>
              <w:right w:val="single" w:color="auto" w:sz="4" w:space="0"/>
            </w:tcBorders>
            <w:noWrap w:val="0"/>
            <w:vAlign w:val="center"/>
          </w:tcPr>
          <w:p w14:paraId="6253645E">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073" w:type="dxa"/>
            <w:tcBorders>
              <w:top w:val="single" w:color="auto" w:sz="4" w:space="0"/>
              <w:left w:val="single" w:color="auto" w:sz="4" w:space="0"/>
              <w:bottom w:val="single" w:color="auto" w:sz="4" w:space="0"/>
              <w:right w:val="single" w:color="auto" w:sz="4" w:space="0"/>
            </w:tcBorders>
            <w:noWrap w:val="0"/>
            <w:vAlign w:val="center"/>
          </w:tcPr>
          <w:p w14:paraId="0711D533">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233" w:type="dxa"/>
            <w:tcBorders>
              <w:top w:val="single" w:color="auto" w:sz="4" w:space="0"/>
              <w:left w:val="single" w:color="auto" w:sz="4" w:space="0"/>
              <w:bottom w:val="single" w:color="auto" w:sz="4" w:space="0"/>
              <w:right w:val="single" w:color="auto" w:sz="4" w:space="0"/>
            </w:tcBorders>
            <w:noWrap w:val="0"/>
            <w:vAlign w:val="center"/>
          </w:tcPr>
          <w:p w14:paraId="2CC9F38A">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316" w:type="dxa"/>
            <w:tcBorders>
              <w:top w:val="single" w:color="auto" w:sz="4" w:space="0"/>
              <w:left w:val="single" w:color="auto" w:sz="4" w:space="0"/>
              <w:bottom w:val="single" w:color="auto" w:sz="4" w:space="0"/>
              <w:right w:val="single" w:color="auto" w:sz="4" w:space="0"/>
            </w:tcBorders>
            <w:noWrap w:val="0"/>
            <w:vAlign w:val="center"/>
          </w:tcPr>
          <w:p w14:paraId="460540D3">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2211" w:type="dxa"/>
            <w:tcBorders>
              <w:top w:val="single" w:color="auto" w:sz="4" w:space="0"/>
              <w:left w:val="single" w:color="auto" w:sz="4" w:space="0"/>
              <w:bottom w:val="single" w:color="auto" w:sz="4" w:space="0"/>
              <w:right w:val="single" w:color="auto" w:sz="4" w:space="0"/>
            </w:tcBorders>
            <w:noWrap w:val="0"/>
            <w:vAlign w:val="center"/>
          </w:tcPr>
          <w:p w14:paraId="65514C0A">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0496E907">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r>
      <w:tr w14:paraId="0DC07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center"/>
          </w:tcPr>
          <w:p w14:paraId="0CBF3D31">
            <w:pPr>
              <w:tabs>
                <w:tab w:val="left" w:pos="480"/>
              </w:tabs>
              <w:spacing w:line="360" w:lineRule="auto"/>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3</w:t>
            </w:r>
          </w:p>
        </w:tc>
        <w:tc>
          <w:tcPr>
            <w:tcW w:w="1634" w:type="dxa"/>
            <w:tcBorders>
              <w:top w:val="single" w:color="auto" w:sz="4" w:space="0"/>
              <w:left w:val="single" w:color="auto" w:sz="4" w:space="0"/>
              <w:bottom w:val="single" w:color="auto" w:sz="4" w:space="0"/>
              <w:right w:val="single" w:color="auto" w:sz="4" w:space="0"/>
            </w:tcBorders>
            <w:noWrap w:val="0"/>
            <w:vAlign w:val="center"/>
          </w:tcPr>
          <w:p w14:paraId="5F67B96C">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073" w:type="dxa"/>
            <w:tcBorders>
              <w:top w:val="single" w:color="auto" w:sz="4" w:space="0"/>
              <w:left w:val="single" w:color="auto" w:sz="4" w:space="0"/>
              <w:bottom w:val="single" w:color="auto" w:sz="4" w:space="0"/>
              <w:right w:val="single" w:color="auto" w:sz="4" w:space="0"/>
            </w:tcBorders>
            <w:noWrap w:val="0"/>
            <w:vAlign w:val="center"/>
          </w:tcPr>
          <w:p w14:paraId="10E1D374">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233" w:type="dxa"/>
            <w:tcBorders>
              <w:top w:val="single" w:color="auto" w:sz="4" w:space="0"/>
              <w:left w:val="single" w:color="auto" w:sz="4" w:space="0"/>
              <w:bottom w:val="single" w:color="auto" w:sz="4" w:space="0"/>
              <w:right w:val="single" w:color="auto" w:sz="4" w:space="0"/>
            </w:tcBorders>
            <w:noWrap w:val="0"/>
            <w:vAlign w:val="center"/>
          </w:tcPr>
          <w:p w14:paraId="6FCFD27E">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316" w:type="dxa"/>
            <w:tcBorders>
              <w:top w:val="single" w:color="auto" w:sz="4" w:space="0"/>
              <w:left w:val="single" w:color="auto" w:sz="4" w:space="0"/>
              <w:bottom w:val="single" w:color="auto" w:sz="4" w:space="0"/>
              <w:right w:val="single" w:color="auto" w:sz="4" w:space="0"/>
            </w:tcBorders>
            <w:noWrap w:val="0"/>
            <w:vAlign w:val="center"/>
          </w:tcPr>
          <w:p w14:paraId="0A5572B6">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2211" w:type="dxa"/>
            <w:tcBorders>
              <w:top w:val="single" w:color="auto" w:sz="4" w:space="0"/>
              <w:left w:val="single" w:color="auto" w:sz="4" w:space="0"/>
              <w:bottom w:val="single" w:color="auto" w:sz="4" w:space="0"/>
              <w:right w:val="single" w:color="auto" w:sz="4" w:space="0"/>
            </w:tcBorders>
            <w:noWrap w:val="0"/>
            <w:vAlign w:val="center"/>
          </w:tcPr>
          <w:p w14:paraId="0EDAFD7B">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43F10FF1">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r>
      <w:tr w14:paraId="2276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center"/>
          </w:tcPr>
          <w:p w14:paraId="07353370">
            <w:pPr>
              <w:tabs>
                <w:tab w:val="left" w:pos="480"/>
              </w:tabs>
              <w:spacing w:line="360" w:lineRule="auto"/>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w:t>
            </w:r>
          </w:p>
        </w:tc>
        <w:tc>
          <w:tcPr>
            <w:tcW w:w="1634" w:type="dxa"/>
            <w:tcBorders>
              <w:top w:val="single" w:color="auto" w:sz="4" w:space="0"/>
              <w:left w:val="single" w:color="auto" w:sz="4" w:space="0"/>
              <w:bottom w:val="single" w:color="auto" w:sz="4" w:space="0"/>
              <w:right w:val="single" w:color="auto" w:sz="4" w:space="0"/>
            </w:tcBorders>
            <w:noWrap w:val="0"/>
            <w:vAlign w:val="center"/>
          </w:tcPr>
          <w:p w14:paraId="312E061E">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073" w:type="dxa"/>
            <w:tcBorders>
              <w:top w:val="single" w:color="auto" w:sz="4" w:space="0"/>
              <w:left w:val="single" w:color="auto" w:sz="4" w:space="0"/>
              <w:bottom w:val="single" w:color="auto" w:sz="4" w:space="0"/>
              <w:right w:val="single" w:color="auto" w:sz="4" w:space="0"/>
            </w:tcBorders>
            <w:noWrap w:val="0"/>
            <w:vAlign w:val="center"/>
          </w:tcPr>
          <w:p w14:paraId="118BA397">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233" w:type="dxa"/>
            <w:tcBorders>
              <w:top w:val="single" w:color="auto" w:sz="4" w:space="0"/>
              <w:left w:val="single" w:color="auto" w:sz="4" w:space="0"/>
              <w:bottom w:val="single" w:color="auto" w:sz="4" w:space="0"/>
              <w:right w:val="single" w:color="auto" w:sz="4" w:space="0"/>
            </w:tcBorders>
            <w:noWrap w:val="0"/>
            <w:vAlign w:val="center"/>
          </w:tcPr>
          <w:p w14:paraId="76A13940">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316" w:type="dxa"/>
            <w:tcBorders>
              <w:top w:val="single" w:color="auto" w:sz="4" w:space="0"/>
              <w:left w:val="single" w:color="auto" w:sz="4" w:space="0"/>
              <w:bottom w:val="single" w:color="auto" w:sz="4" w:space="0"/>
              <w:right w:val="single" w:color="auto" w:sz="4" w:space="0"/>
            </w:tcBorders>
            <w:noWrap w:val="0"/>
            <w:vAlign w:val="center"/>
          </w:tcPr>
          <w:p w14:paraId="02E2AC5B">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2211" w:type="dxa"/>
            <w:tcBorders>
              <w:top w:val="single" w:color="auto" w:sz="4" w:space="0"/>
              <w:left w:val="single" w:color="auto" w:sz="4" w:space="0"/>
              <w:bottom w:val="single" w:color="auto" w:sz="4" w:space="0"/>
              <w:right w:val="single" w:color="auto" w:sz="4" w:space="0"/>
            </w:tcBorders>
            <w:noWrap w:val="0"/>
            <w:vAlign w:val="center"/>
          </w:tcPr>
          <w:p w14:paraId="1EB749D9">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47A738FE">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r>
      <w:tr w14:paraId="7888F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center"/>
          </w:tcPr>
          <w:p w14:paraId="7BFA7D33">
            <w:pPr>
              <w:tabs>
                <w:tab w:val="left" w:pos="480"/>
              </w:tabs>
              <w:spacing w:line="360" w:lineRule="auto"/>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说明</w:t>
            </w:r>
          </w:p>
        </w:tc>
        <w:tc>
          <w:tcPr>
            <w:tcW w:w="8739" w:type="dxa"/>
            <w:gridSpan w:val="6"/>
            <w:tcBorders>
              <w:top w:val="single" w:color="auto" w:sz="4" w:space="0"/>
              <w:left w:val="single" w:color="auto" w:sz="4" w:space="0"/>
              <w:bottom w:val="single" w:color="auto" w:sz="4" w:space="0"/>
              <w:right w:val="single" w:color="auto" w:sz="4" w:space="0"/>
            </w:tcBorders>
            <w:noWrap w:val="0"/>
            <w:vAlign w:val="center"/>
          </w:tcPr>
          <w:p w14:paraId="73488677">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r>
    </w:tbl>
    <w:p w14:paraId="18BAE1C0">
      <w:pPr>
        <w:tabs>
          <w:tab w:val="left" w:pos="480"/>
        </w:tabs>
        <w:spacing w:line="360" w:lineRule="auto"/>
        <w:ind w:firstLine="472" w:firstLineChars="196"/>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二、合同价款</w:t>
      </w:r>
    </w:p>
    <w:p w14:paraId="42BAAA47">
      <w:pPr>
        <w:tabs>
          <w:tab w:val="left" w:pos="480"/>
        </w:tabs>
        <w:spacing w:line="360" w:lineRule="auto"/>
        <w:ind w:firstLine="420" w:firstLineChars="2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（一）合同总价款为人民币（大写）</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shd w:val="clear" w:color="auto" w:fill="auto"/>
        </w:rPr>
        <w:t>元整（¥</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shd w:val="clear" w:color="auto" w:fill="auto"/>
        </w:rPr>
        <w:t>元）。</w:t>
      </w:r>
    </w:p>
    <w:p w14:paraId="433EE5EF">
      <w:pPr>
        <w:tabs>
          <w:tab w:val="left" w:pos="480"/>
        </w:tabs>
        <w:spacing w:line="360" w:lineRule="auto"/>
        <w:ind w:firstLine="420" w:firstLineChars="2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（二）合同总价包括：完成本项目产品购置费、</w:t>
      </w:r>
      <w:r>
        <w:rPr>
          <w:rFonts w:hint="eastAsia" w:ascii="宋体" w:hAnsi="宋体" w:eastAsia="宋体" w:cs="宋体"/>
          <w:color w:val="auto"/>
          <w:sz w:val="21"/>
          <w:szCs w:val="21"/>
          <w:highlight w:val="none"/>
          <w:shd w:val="clear" w:color="auto" w:fill="auto"/>
          <w:lang w:eastAsia="zh-CN"/>
        </w:rPr>
        <w:t>安装费、</w:t>
      </w:r>
      <w:r>
        <w:rPr>
          <w:rFonts w:hint="eastAsia" w:ascii="宋体" w:hAnsi="宋体" w:eastAsia="宋体" w:cs="宋体"/>
          <w:color w:val="auto"/>
          <w:sz w:val="21"/>
          <w:szCs w:val="21"/>
          <w:highlight w:val="none"/>
          <w:shd w:val="clear" w:color="auto" w:fill="auto"/>
        </w:rPr>
        <w:t>服务费、所有技术服务费和配合费、管理费、验收、税金、利润、售后服务及全部明示和暗示的风险及本项目所涵盖的一切费用。</w:t>
      </w:r>
      <w:r>
        <w:rPr>
          <w:rFonts w:hint="eastAsia" w:ascii="宋体" w:hAnsi="宋体" w:eastAsia="宋体" w:cs="宋体"/>
          <w:color w:val="auto"/>
          <w:sz w:val="21"/>
          <w:szCs w:val="21"/>
          <w:highlight w:val="none"/>
          <w:shd w:val="clear" w:color="auto" w:fill="auto"/>
          <w:lang w:val="en-US" w:eastAsia="zh-CN"/>
        </w:rPr>
        <w:t>合同价款不受市场价格变化因素的影响。</w:t>
      </w:r>
    </w:p>
    <w:p w14:paraId="47FF4AD9">
      <w:pPr>
        <w:tabs>
          <w:tab w:val="left" w:pos="480"/>
        </w:tabs>
        <w:spacing w:line="360" w:lineRule="auto"/>
        <w:ind w:firstLine="482" w:firstLineChars="200"/>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三、款项结算</w:t>
      </w:r>
    </w:p>
    <w:p w14:paraId="29B18821">
      <w:pPr>
        <w:tabs>
          <w:tab w:val="left" w:pos="480"/>
        </w:tabs>
        <w:spacing w:line="360" w:lineRule="auto"/>
        <w:ind w:firstLine="420" w:firstLineChars="200"/>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交货完成，验收合格后 ，达到付款条件起 30 日内，支付合同总金额的 100.00%。</w:t>
      </w:r>
    </w:p>
    <w:p w14:paraId="44E1A096">
      <w:pPr>
        <w:tabs>
          <w:tab w:val="left" w:pos="480"/>
        </w:tabs>
        <w:spacing w:line="360" w:lineRule="auto"/>
        <w:ind w:firstLine="472" w:firstLineChars="196"/>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四、双方的权利和义务</w:t>
      </w:r>
    </w:p>
    <w:p w14:paraId="19C59845">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（一）甲方的权利和义务</w:t>
      </w:r>
    </w:p>
    <w:p w14:paraId="24325EE9">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 xml:space="preserve">    甲方权利：组织使用单位严格按照招标文件及投标文件要求和标准验收及相关服务。</w:t>
      </w:r>
    </w:p>
    <w:p w14:paraId="098346B1">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 xml:space="preserve">    甲方义务：积极配合乙方验收、安装、调试工作。</w:t>
      </w:r>
    </w:p>
    <w:p w14:paraId="6E389C17">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（二）乙方的权利和义务</w:t>
      </w:r>
    </w:p>
    <w:p w14:paraId="62CF0F54">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 xml:space="preserve">    乙方权利：按照合同约定要求甲方及时付款。</w:t>
      </w:r>
    </w:p>
    <w:p w14:paraId="03C3C2BD">
      <w:pPr>
        <w:tabs>
          <w:tab w:val="left" w:pos="480"/>
        </w:tabs>
        <w:spacing w:line="360" w:lineRule="auto"/>
        <w:ind w:firstLine="42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bCs/>
          <w:color w:val="auto"/>
          <w:sz w:val="21"/>
          <w:szCs w:val="21"/>
          <w:highlight w:val="none"/>
          <w:shd w:val="clear" w:color="auto" w:fill="auto"/>
        </w:rPr>
        <w:t xml:space="preserve">    乙方义务：按照合同约定时间，按甲方指定地点提供服务，配合验收工作，并负责安装、调试、提供现场技术培训，保证使用人员正常操作产品各种功能</w:t>
      </w:r>
      <w:r>
        <w:rPr>
          <w:rFonts w:hint="eastAsia" w:ascii="宋体" w:hAnsi="宋体" w:eastAsia="宋体" w:cs="宋体"/>
          <w:bCs/>
          <w:color w:val="auto"/>
          <w:sz w:val="24"/>
          <w:szCs w:val="24"/>
          <w:highlight w:val="none"/>
          <w:shd w:val="clear" w:color="auto" w:fill="auto"/>
        </w:rPr>
        <w:t>。</w:t>
      </w:r>
    </w:p>
    <w:p w14:paraId="2A3585BB">
      <w:pPr>
        <w:tabs>
          <w:tab w:val="left" w:pos="480"/>
        </w:tabs>
        <w:spacing w:line="360" w:lineRule="auto"/>
        <w:ind w:firstLine="472" w:firstLineChars="196"/>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五、交付条件：</w:t>
      </w:r>
    </w:p>
    <w:p w14:paraId="22E08DEE">
      <w:pPr>
        <w:tabs>
          <w:tab w:val="left" w:pos="480"/>
        </w:tabs>
        <w:spacing w:line="360" w:lineRule="auto"/>
        <w:ind w:firstLine="420" w:firstLineChars="200"/>
        <w:rPr>
          <w:rFonts w:hint="eastAsia" w:ascii="宋体" w:hAnsi="宋体" w:eastAsia="宋体" w:cs="宋体"/>
          <w:bCs/>
          <w:color w:val="auto"/>
          <w:sz w:val="21"/>
          <w:szCs w:val="21"/>
          <w:highlight w:val="none"/>
          <w:u w:val="single"/>
          <w:shd w:val="clear" w:color="auto" w:fill="auto"/>
          <w:lang w:val="en-US" w:eastAsia="zh-CN"/>
        </w:rPr>
      </w:pPr>
      <w:r>
        <w:rPr>
          <w:rFonts w:hint="eastAsia" w:ascii="宋体" w:hAnsi="宋体" w:eastAsia="宋体" w:cs="宋体"/>
          <w:bCs/>
          <w:color w:val="auto"/>
          <w:sz w:val="21"/>
          <w:szCs w:val="21"/>
          <w:highlight w:val="none"/>
          <w:shd w:val="clear" w:color="auto" w:fill="auto"/>
        </w:rPr>
        <w:t>（一）</w:t>
      </w:r>
      <w:r>
        <w:rPr>
          <w:rFonts w:hint="eastAsia" w:ascii="宋体" w:hAnsi="宋体" w:eastAsia="宋体" w:cs="宋体"/>
          <w:bCs/>
          <w:color w:val="auto"/>
          <w:sz w:val="21"/>
          <w:szCs w:val="21"/>
          <w:highlight w:val="none"/>
          <w:shd w:val="clear" w:color="auto" w:fill="auto"/>
          <w:lang w:val="en-US" w:eastAsia="zh-CN"/>
        </w:rPr>
        <w:t>实施</w:t>
      </w:r>
      <w:r>
        <w:rPr>
          <w:rFonts w:hint="eastAsia" w:ascii="宋体" w:hAnsi="宋体" w:eastAsia="宋体" w:cs="宋体"/>
          <w:bCs/>
          <w:color w:val="auto"/>
          <w:sz w:val="21"/>
          <w:szCs w:val="21"/>
          <w:highlight w:val="none"/>
          <w:shd w:val="clear" w:color="auto" w:fill="auto"/>
        </w:rPr>
        <w:t>地点：</w:t>
      </w:r>
      <w:r>
        <w:rPr>
          <w:rFonts w:hint="eastAsia" w:ascii="宋体" w:hAnsi="宋体" w:eastAsia="宋体" w:cs="宋体"/>
          <w:bCs/>
          <w:color w:val="auto"/>
          <w:sz w:val="21"/>
          <w:szCs w:val="21"/>
          <w:highlight w:val="none"/>
          <w:u w:val="single"/>
          <w:shd w:val="clear" w:color="auto" w:fill="auto"/>
          <w:lang w:val="en-US" w:eastAsia="zh-CN"/>
        </w:rPr>
        <w:t xml:space="preserve">            </w:t>
      </w:r>
    </w:p>
    <w:p w14:paraId="3DD8462B">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（二）</w:t>
      </w:r>
      <w:r>
        <w:rPr>
          <w:rFonts w:hint="eastAsia" w:ascii="宋体" w:hAnsi="宋体" w:eastAsia="宋体" w:cs="宋体"/>
          <w:bCs/>
          <w:color w:val="auto"/>
          <w:sz w:val="21"/>
          <w:szCs w:val="21"/>
          <w:highlight w:val="none"/>
          <w:shd w:val="clear" w:color="auto" w:fill="auto"/>
          <w:lang w:val="en-US" w:eastAsia="zh-CN"/>
        </w:rPr>
        <w:t>交付</w:t>
      </w:r>
      <w:r>
        <w:rPr>
          <w:rFonts w:hint="eastAsia" w:ascii="宋体" w:hAnsi="宋体" w:eastAsia="宋体" w:cs="宋体"/>
          <w:bCs/>
          <w:color w:val="auto"/>
          <w:sz w:val="21"/>
          <w:szCs w:val="21"/>
          <w:highlight w:val="none"/>
          <w:shd w:val="clear" w:color="auto" w:fill="auto"/>
        </w:rPr>
        <w:t>期：</w:t>
      </w:r>
      <w:r>
        <w:rPr>
          <w:rFonts w:hint="eastAsia" w:ascii="宋体" w:hAnsi="宋体" w:eastAsia="宋体" w:cs="宋体"/>
          <w:bCs/>
          <w:color w:val="auto"/>
          <w:sz w:val="21"/>
          <w:szCs w:val="21"/>
          <w:highlight w:val="none"/>
          <w:u w:val="single"/>
          <w:shd w:val="clear" w:color="auto" w:fill="auto"/>
          <w:lang w:val="en-US" w:eastAsia="zh-CN"/>
        </w:rPr>
        <w:t xml:space="preserve">             </w:t>
      </w:r>
    </w:p>
    <w:p w14:paraId="278D1B85">
      <w:pPr>
        <w:tabs>
          <w:tab w:val="left" w:pos="480"/>
        </w:tabs>
        <w:spacing w:line="360" w:lineRule="auto"/>
        <w:ind w:firstLine="472" w:firstLineChars="196"/>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六、运输</w:t>
      </w:r>
    </w:p>
    <w:p w14:paraId="4A948697">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（一）运输由乙方负责，运杂费已包含在合同总价内，包括从供应地点所含的运输费、装卸费、仓储费、保险费等。</w:t>
      </w:r>
    </w:p>
    <w:p w14:paraId="622D5E96">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（二）运输方式由乙方自行选择，但必须保证按期交货。</w:t>
      </w:r>
    </w:p>
    <w:p w14:paraId="1C50E458">
      <w:pPr>
        <w:tabs>
          <w:tab w:val="left" w:pos="480"/>
        </w:tabs>
        <w:spacing w:line="360" w:lineRule="auto"/>
        <w:ind w:firstLine="472" w:firstLineChars="196"/>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七、质量保证</w:t>
      </w:r>
    </w:p>
    <w:p w14:paraId="6B7CD20F">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乙方必须执行下列条款：</w:t>
      </w:r>
    </w:p>
    <w:p w14:paraId="0316A1F4">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（一）产品到位后，工程师应立即进行安装、调试，同时对操作人员进行严格的规范化培训。</w:t>
      </w:r>
    </w:p>
    <w:p w14:paraId="0C5F04D1">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（二）保证技术指标先进、质量性能可靠、进货渠道正常，配置合理，全面满足采购要求。</w:t>
      </w:r>
    </w:p>
    <w:p w14:paraId="700E95F8">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（三）符合国家有关规范要求，确保达到最佳运行状态。</w:t>
      </w:r>
    </w:p>
    <w:p w14:paraId="567768E1">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（四）具有良好的外观，适合安装场所的使用。</w:t>
      </w:r>
    </w:p>
    <w:p w14:paraId="32C7326D">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（五）因产品质量或设计缺陷等问题，而发生的差错或纠纷乙方及生产厂商付全部责任。</w:t>
      </w:r>
    </w:p>
    <w:p w14:paraId="5F6DDF4F">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lang w:eastAsia="zh-CN"/>
        </w:rPr>
        <w:t>（六）</w:t>
      </w:r>
      <w:r>
        <w:rPr>
          <w:rFonts w:hint="eastAsia" w:ascii="宋体" w:hAnsi="宋体" w:eastAsia="宋体" w:cs="宋体"/>
          <w:bCs/>
          <w:color w:val="auto"/>
          <w:sz w:val="21"/>
          <w:szCs w:val="21"/>
          <w:highlight w:val="none"/>
          <w:shd w:val="clear" w:color="auto" w:fill="auto"/>
        </w:rPr>
        <w:t>在合同履行过程中为保证货物质量，中标供应商应提供近六个月内生产的产品</w:t>
      </w:r>
    </w:p>
    <w:p w14:paraId="10F46039">
      <w:pPr>
        <w:tabs>
          <w:tab w:val="left" w:pos="480"/>
        </w:tabs>
        <w:spacing w:line="360" w:lineRule="auto"/>
        <w:ind w:firstLine="472" w:firstLineChars="196"/>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八、售后服务</w:t>
      </w:r>
    </w:p>
    <w:p w14:paraId="18FA73F8">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乙方所供货物提供以下售后服务：</w:t>
      </w:r>
    </w:p>
    <w:p w14:paraId="6A30C944">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（一）质保期内：</w:t>
      </w:r>
    </w:p>
    <w:p w14:paraId="2DFCD39E">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1、供货商应告知甲方产品的使用、维护等有关注意事项，并根据招投标文件要求对甲方的人员进行培训。</w:t>
      </w:r>
    </w:p>
    <w:p w14:paraId="295560F9">
      <w:pPr>
        <w:pStyle w:val="6"/>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lang w:val="en-US" w:eastAsia="zh-CN"/>
        </w:rPr>
        <w:t>2</w:t>
      </w:r>
      <w:r>
        <w:rPr>
          <w:rFonts w:hint="eastAsia" w:ascii="宋体" w:hAnsi="宋体" w:eastAsia="宋体" w:cs="宋体"/>
          <w:bCs/>
          <w:color w:val="auto"/>
          <w:sz w:val="21"/>
          <w:szCs w:val="21"/>
          <w:highlight w:val="none"/>
          <w:shd w:val="clear" w:color="auto" w:fill="auto"/>
        </w:rPr>
        <w:t>、保修期内和免费维护期内，提供的所有维修维护服务均为用户现场服务，由此产生的费用均不再收取。</w:t>
      </w:r>
    </w:p>
    <w:p w14:paraId="7382B077">
      <w:pPr>
        <w:pStyle w:val="6"/>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lang w:val="en-US" w:eastAsia="zh-CN"/>
        </w:rPr>
        <w:t>3</w:t>
      </w:r>
      <w:r>
        <w:rPr>
          <w:rFonts w:hint="eastAsia" w:ascii="宋体" w:hAnsi="宋体" w:eastAsia="宋体" w:cs="宋体"/>
          <w:bCs/>
          <w:color w:val="auto"/>
          <w:sz w:val="21"/>
          <w:szCs w:val="21"/>
          <w:highlight w:val="none"/>
          <w:shd w:val="clear" w:color="auto" w:fill="auto"/>
        </w:rPr>
        <w:t>、在保修期内，乙方须在</w:t>
      </w:r>
      <w:r>
        <w:rPr>
          <w:rFonts w:hint="eastAsia" w:ascii="宋体" w:hAnsi="宋体" w:eastAsia="宋体" w:cs="宋体"/>
          <w:bCs/>
          <w:color w:val="auto"/>
          <w:sz w:val="21"/>
          <w:szCs w:val="21"/>
          <w:highlight w:val="none"/>
          <w:shd w:val="clear" w:color="auto" w:fill="auto"/>
          <w:lang w:eastAsia="zh-CN"/>
        </w:rPr>
        <w:t>本市</w:t>
      </w:r>
      <w:r>
        <w:rPr>
          <w:rFonts w:hint="eastAsia" w:ascii="宋体" w:hAnsi="宋体" w:eastAsia="宋体" w:cs="宋体"/>
          <w:bCs/>
          <w:color w:val="auto"/>
          <w:sz w:val="21"/>
          <w:szCs w:val="21"/>
          <w:highlight w:val="none"/>
          <w:shd w:val="clear" w:color="auto" w:fill="auto"/>
        </w:rPr>
        <w:t>内设有售后服务队伍，提供良好的维护服务。</w:t>
      </w:r>
    </w:p>
    <w:p w14:paraId="1CF264D8">
      <w:pPr>
        <w:tabs>
          <w:tab w:val="left" w:pos="480"/>
        </w:tabs>
        <w:spacing w:line="360" w:lineRule="auto"/>
        <w:ind w:firstLine="420" w:firstLineChars="200"/>
        <w:rPr>
          <w:rFonts w:hint="eastAsia" w:ascii="宋体" w:hAnsi="宋体" w:eastAsia="宋体" w:cs="宋体"/>
          <w:bCs/>
          <w:color w:val="auto"/>
          <w:sz w:val="24"/>
          <w:szCs w:val="24"/>
          <w:highlight w:val="none"/>
          <w:shd w:val="clear" w:color="auto" w:fill="auto"/>
        </w:rPr>
      </w:pPr>
      <w:r>
        <w:rPr>
          <w:rFonts w:hint="eastAsia" w:ascii="宋体" w:hAnsi="宋体" w:eastAsia="宋体" w:cs="宋体"/>
          <w:bCs/>
          <w:color w:val="auto"/>
          <w:sz w:val="21"/>
          <w:szCs w:val="21"/>
          <w:highlight w:val="none"/>
          <w:shd w:val="clear" w:color="auto" w:fill="auto"/>
        </w:rPr>
        <w:t>（二）质保期结束前，进行系统测试</w:t>
      </w:r>
      <w:r>
        <w:rPr>
          <w:rFonts w:hint="eastAsia" w:ascii="宋体" w:hAnsi="宋体" w:eastAsia="宋体" w:cs="宋体"/>
          <w:bCs/>
          <w:color w:val="auto"/>
          <w:sz w:val="21"/>
          <w:szCs w:val="21"/>
          <w:highlight w:val="none"/>
          <w:shd w:val="clear" w:color="auto" w:fill="auto"/>
          <w:lang w:eastAsia="zh-CN"/>
        </w:rPr>
        <w:t>、调试</w:t>
      </w:r>
      <w:r>
        <w:rPr>
          <w:rFonts w:hint="eastAsia" w:ascii="宋体" w:hAnsi="宋体" w:eastAsia="宋体" w:cs="宋体"/>
          <w:bCs/>
          <w:color w:val="auto"/>
          <w:sz w:val="21"/>
          <w:szCs w:val="21"/>
          <w:highlight w:val="none"/>
          <w:shd w:val="clear" w:color="auto" w:fill="auto"/>
        </w:rPr>
        <w:t>，全面保养维护，确保正常运行。</w:t>
      </w:r>
    </w:p>
    <w:p w14:paraId="58644A7F">
      <w:pPr>
        <w:tabs>
          <w:tab w:val="left" w:pos="480"/>
        </w:tabs>
        <w:spacing w:line="360" w:lineRule="auto"/>
        <w:ind w:firstLine="472" w:firstLineChars="196"/>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九、技术与服务</w:t>
      </w:r>
    </w:p>
    <w:p w14:paraId="6BAB805E">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1、货物合格证；</w:t>
      </w:r>
    </w:p>
    <w:p w14:paraId="3BD59F2A">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2、货物使用说明书（中文）；</w:t>
      </w:r>
    </w:p>
    <w:p w14:paraId="0EC84E0B">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3、检验测试报告；</w:t>
      </w:r>
    </w:p>
    <w:p w14:paraId="1CD4C87E">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4、其它资料。</w:t>
      </w:r>
    </w:p>
    <w:p w14:paraId="0903E8A5">
      <w:pPr>
        <w:tabs>
          <w:tab w:val="left" w:pos="480"/>
        </w:tabs>
        <w:spacing w:line="360" w:lineRule="auto"/>
        <w:ind w:firstLine="482" w:firstLineChars="200"/>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十、验收</w:t>
      </w:r>
    </w:p>
    <w:p w14:paraId="4D8446D7">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一）乙方应在将产品移交甲方之前或同时，将与该产品有关的全部法律证件提交甲方审核确认。经甲方审核认为上述文件不全或存在瑕疵的，甲方有权拒绝支付货款。甲方对上述文件的审核并不解除乙方对产品所负的权利担保责任。</w:t>
      </w:r>
    </w:p>
    <w:p w14:paraId="1AA96478">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（二）产品到达甲方指定地点后，甲方根据合同要求，进行外观验收，确认产地、规格、型号和数量。</w:t>
      </w:r>
    </w:p>
    <w:p w14:paraId="52140744">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（三）安装、调试并正常运行后，由乙方进行自检，合格后，准备验收文件，并书面通知甲方。</w:t>
      </w:r>
    </w:p>
    <w:p w14:paraId="75FC4522">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（四）甲方确认乙方的自检内容后，组织乙方（必要时请有关专家）进行验收，验收合格后，填写政府采购项目验收单作为最终认可。</w:t>
      </w:r>
    </w:p>
    <w:p w14:paraId="420CE80F">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（五）乙方向甲方提交货物实施过程中的所有资料。以便甲方日后管理和维护。</w:t>
      </w:r>
    </w:p>
    <w:p w14:paraId="2EFBD9AE">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（六）验收依据：</w:t>
      </w:r>
    </w:p>
    <w:p w14:paraId="0A5D3137">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1、招标文件、投标文件、澄清表（函）；</w:t>
      </w:r>
    </w:p>
    <w:p w14:paraId="4F70AA46">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2、本合同及附件文本；</w:t>
      </w:r>
    </w:p>
    <w:p w14:paraId="7AE4CDE6">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3、国家相应的标准、规范。</w:t>
      </w:r>
    </w:p>
    <w:p w14:paraId="6A30B5B1">
      <w:pPr>
        <w:tabs>
          <w:tab w:val="left" w:pos="480"/>
        </w:tabs>
        <w:spacing w:line="360" w:lineRule="auto"/>
        <w:ind w:firstLine="472" w:firstLineChars="196"/>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十</w:t>
      </w:r>
      <w:r>
        <w:rPr>
          <w:rFonts w:hint="eastAsia" w:ascii="宋体" w:hAnsi="宋体" w:eastAsia="宋体" w:cs="宋体"/>
          <w:b/>
          <w:color w:val="auto"/>
          <w:sz w:val="24"/>
          <w:szCs w:val="24"/>
          <w:highlight w:val="none"/>
          <w:shd w:val="clear" w:color="auto" w:fill="auto"/>
          <w:lang w:eastAsia="zh-CN"/>
        </w:rPr>
        <w:t>一</w:t>
      </w:r>
      <w:r>
        <w:rPr>
          <w:rFonts w:hint="eastAsia" w:ascii="宋体" w:hAnsi="宋体" w:eastAsia="宋体" w:cs="宋体"/>
          <w:b/>
          <w:color w:val="auto"/>
          <w:sz w:val="24"/>
          <w:szCs w:val="24"/>
          <w:highlight w:val="none"/>
          <w:shd w:val="clear" w:color="auto" w:fill="auto"/>
        </w:rPr>
        <w:t>、违约责任</w:t>
      </w:r>
      <w:bookmarkStart w:id="0" w:name="_GoBack"/>
      <w:bookmarkEnd w:id="0"/>
    </w:p>
    <w:p w14:paraId="41BB10F3">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（一）按《</w:t>
      </w:r>
      <w:r>
        <w:rPr>
          <w:rFonts w:hint="eastAsia" w:ascii="宋体" w:hAnsi="宋体" w:cs="宋体"/>
          <w:bCs/>
          <w:color w:val="auto"/>
          <w:sz w:val="21"/>
          <w:szCs w:val="21"/>
          <w:highlight w:val="none"/>
          <w:shd w:val="clear" w:color="auto" w:fill="auto"/>
          <w:lang w:eastAsia="zh-CN"/>
        </w:rPr>
        <w:t>中华人民共和国</w:t>
      </w:r>
      <w:r>
        <w:rPr>
          <w:rFonts w:hint="eastAsia" w:ascii="宋体" w:hAnsi="宋体" w:eastAsia="宋体" w:cs="宋体"/>
          <w:bCs/>
          <w:color w:val="auto"/>
          <w:sz w:val="21"/>
          <w:szCs w:val="21"/>
          <w:highlight w:val="none"/>
          <w:shd w:val="clear" w:color="auto" w:fill="auto"/>
        </w:rPr>
        <w:t>政府采购法》、《</w:t>
      </w:r>
      <w:r>
        <w:rPr>
          <w:rFonts w:hint="eastAsia" w:ascii="宋体" w:hAnsi="宋体" w:cs="宋体"/>
          <w:bCs/>
          <w:color w:val="auto"/>
          <w:sz w:val="21"/>
          <w:szCs w:val="21"/>
          <w:highlight w:val="none"/>
          <w:shd w:val="clear" w:color="auto" w:fill="auto"/>
          <w:lang w:eastAsia="zh-CN"/>
        </w:rPr>
        <w:t>中华人民共和国</w:t>
      </w:r>
      <w:r>
        <w:rPr>
          <w:rFonts w:hint="eastAsia" w:ascii="宋体" w:hAnsi="宋体" w:eastAsia="宋体" w:cs="宋体"/>
          <w:bCs/>
          <w:color w:val="auto"/>
          <w:sz w:val="21"/>
          <w:szCs w:val="21"/>
          <w:highlight w:val="none"/>
          <w:shd w:val="clear" w:color="auto" w:fill="auto"/>
        </w:rPr>
        <w:t>民法典》中的相关条款执行。</w:t>
      </w:r>
    </w:p>
    <w:p w14:paraId="4839B474">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（二）未按合同要求提供货物或质量不能满足招标技术要求，乙方必须无条件更换，提高技术，完善质量，否则，甲方有权终止合同，并对乙方的违约行为报监管机构进行相应的处罚。</w:t>
      </w:r>
    </w:p>
    <w:p w14:paraId="0EAA8E1D">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（三）交付期每超过一天，扣除乙方合同总价款的</w:t>
      </w:r>
      <w:r>
        <w:rPr>
          <w:rFonts w:hint="eastAsia" w:ascii="宋体" w:hAnsi="宋体" w:eastAsia="宋体" w:cs="宋体"/>
          <w:bCs/>
          <w:color w:val="auto"/>
          <w:sz w:val="21"/>
          <w:szCs w:val="21"/>
          <w:highlight w:val="none"/>
          <w:u w:val="single"/>
          <w:shd w:val="clear" w:color="auto" w:fill="auto"/>
          <w:lang w:val="en-US" w:eastAsia="zh-CN"/>
        </w:rPr>
        <w:t xml:space="preserve">      </w:t>
      </w:r>
      <w:r>
        <w:rPr>
          <w:rFonts w:hint="eastAsia" w:ascii="宋体" w:hAnsi="宋体" w:eastAsia="宋体" w:cs="宋体"/>
          <w:bCs/>
          <w:color w:val="auto"/>
          <w:sz w:val="21"/>
          <w:szCs w:val="21"/>
          <w:highlight w:val="none"/>
          <w:shd w:val="clear" w:color="auto" w:fill="auto"/>
        </w:rPr>
        <w:t>。</w:t>
      </w:r>
    </w:p>
    <w:p w14:paraId="3B487E58">
      <w:pPr>
        <w:tabs>
          <w:tab w:val="left" w:pos="480"/>
        </w:tabs>
        <w:spacing w:line="360" w:lineRule="auto"/>
        <w:ind w:firstLine="472" w:firstLineChars="196"/>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十</w:t>
      </w:r>
      <w:r>
        <w:rPr>
          <w:rFonts w:hint="eastAsia" w:ascii="宋体" w:hAnsi="宋体" w:eastAsia="宋体" w:cs="宋体"/>
          <w:b/>
          <w:color w:val="auto"/>
          <w:sz w:val="24"/>
          <w:szCs w:val="24"/>
          <w:highlight w:val="none"/>
          <w:shd w:val="clear" w:color="auto" w:fill="auto"/>
          <w:lang w:eastAsia="zh-CN"/>
        </w:rPr>
        <w:t>二</w:t>
      </w:r>
      <w:r>
        <w:rPr>
          <w:rFonts w:hint="eastAsia" w:ascii="宋体" w:hAnsi="宋体" w:eastAsia="宋体" w:cs="宋体"/>
          <w:b/>
          <w:color w:val="auto"/>
          <w:sz w:val="24"/>
          <w:szCs w:val="24"/>
          <w:highlight w:val="none"/>
          <w:shd w:val="clear" w:color="auto" w:fill="auto"/>
        </w:rPr>
        <w:t>、合同争议解决的方式</w:t>
      </w:r>
    </w:p>
    <w:p w14:paraId="17D07163">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本合同在履行过程中发生的争议，由甲、乙双方当事人协商解决，协商不成的按下列第（ 二 ）种方式解决：</w:t>
      </w:r>
    </w:p>
    <w:p w14:paraId="1C7FBA8A">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（一）提交</w:t>
      </w:r>
      <w:r>
        <w:rPr>
          <w:rFonts w:hint="eastAsia" w:ascii="宋体" w:hAnsi="宋体" w:eastAsia="宋体" w:cs="宋体"/>
          <w:bCs/>
          <w:color w:val="auto"/>
          <w:sz w:val="21"/>
          <w:szCs w:val="21"/>
          <w:highlight w:val="none"/>
          <w:u w:val="single"/>
          <w:shd w:val="clear" w:color="auto" w:fill="auto"/>
        </w:rPr>
        <w:t xml:space="preserve">  甲方   </w:t>
      </w:r>
      <w:r>
        <w:rPr>
          <w:rFonts w:hint="eastAsia" w:ascii="宋体" w:hAnsi="宋体" w:eastAsia="宋体" w:cs="宋体"/>
          <w:bCs/>
          <w:color w:val="auto"/>
          <w:sz w:val="21"/>
          <w:szCs w:val="21"/>
          <w:highlight w:val="none"/>
          <w:shd w:val="clear" w:color="auto" w:fill="auto"/>
        </w:rPr>
        <w:t>仲裁委员会仲裁；</w:t>
      </w:r>
    </w:p>
    <w:p w14:paraId="0F990C80">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（二）依法向</w:t>
      </w:r>
      <w:r>
        <w:rPr>
          <w:rFonts w:hint="eastAsia" w:ascii="宋体" w:hAnsi="宋体" w:eastAsia="宋体" w:cs="宋体"/>
          <w:bCs/>
          <w:color w:val="auto"/>
          <w:sz w:val="21"/>
          <w:szCs w:val="21"/>
          <w:highlight w:val="none"/>
          <w:u w:val="single"/>
          <w:shd w:val="clear" w:color="auto" w:fill="auto"/>
        </w:rPr>
        <w:t xml:space="preserve">  甲方  </w:t>
      </w:r>
      <w:r>
        <w:rPr>
          <w:rFonts w:hint="eastAsia" w:ascii="宋体" w:hAnsi="宋体" w:eastAsia="宋体" w:cs="宋体"/>
          <w:bCs/>
          <w:color w:val="auto"/>
          <w:sz w:val="21"/>
          <w:szCs w:val="21"/>
          <w:highlight w:val="none"/>
          <w:shd w:val="clear" w:color="auto" w:fill="auto"/>
        </w:rPr>
        <w:t>所在地人民法院起诉。</w:t>
      </w:r>
    </w:p>
    <w:p w14:paraId="34E3E3B7">
      <w:pPr>
        <w:tabs>
          <w:tab w:val="left" w:pos="480"/>
        </w:tabs>
        <w:spacing w:line="360" w:lineRule="auto"/>
        <w:ind w:firstLine="472" w:firstLineChars="196"/>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十四、合同生效</w:t>
      </w:r>
    </w:p>
    <w:p w14:paraId="1D8604D3">
      <w:pPr>
        <w:tabs>
          <w:tab w:val="left" w:pos="480"/>
        </w:tabs>
        <w:spacing w:line="360" w:lineRule="auto"/>
        <w:ind w:firstLine="420"/>
        <w:rPr>
          <w:rFonts w:hint="eastAsia" w:ascii="宋体" w:hAnsi="宋体" w:eastAsia="宋体" w:cs="宋体"/>
          <w:bCs/>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本合同一式</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shd w:val="clear" w:color="auto" w:fill="auto"/>
        </w:rPr>
        <w:t>份，甲方执</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shd w:val="clear" w:color="auto" w:fill="auto"/>
        </w:rPr>
        <w:t>份，乙方执</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shd w:val="clear" w:color="auto" w:fill="auto"/>
        </w:rPr>
        <w:t>份，本合同甲、乙各方签字盖章后生效，合同执行完毕后，自动失效（合同的服务承诺则长期有效）</w:t>
      </w:r>
      <w:r>
        <w:rPr>
          <w:rFonts w:hint="eastAsia" w:ascii="宋体" w:hAnsi="宋体" w:eastAsia="宋体" w:cs="宋体"/>
          <w:bCs/>
          <w:color w:val="auto"/>
          <w:sz w:val="21"/>
          <w:szCs w:val="21"/>
          <w:highlight w:val="none"/>
          <w:shd w:val="clear" w:color="auto" w:fill="auto"/>
        </w:rPr>
        <w:t>。</w:t>
      </w:r>
    </w:p>
    <w:p w14:paraId="3480A503">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（一）陕西省财政厅政府采购管理处在合同的履行期间以及履行期后，可以随时检查项目的执行情况，对采购内容、标准进行调查核实，并对发现的问题进行处理。</w:t>
      </w:r>
    </w:p>
    <w:p w14:paraId="45754507">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（二）招标文件、投标文件、澄清表（函）、中标通知书、合同附件均成为合同不可分割的部分。</w:t>
      </w:r>
    </w:p>
    <w:p w14:paraId="19DB4623">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（三）合同未尽事宜，由甲、乙双方协商并确认后，作为合同补充，与原合同具有同等法律效力。</w:t>
      </w:r>
    </w:p>
    <w:p w14:paraId="43FEBA0B">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（四）合同一经签订，不得擅自变更、中止或终止合同。对确需变更、调整或中止、终止合同的，应按规定履行相应的手续。</w:t>
      </w:r>
    </w:p>
    <w:p w14:paraId="2A92B62A">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（五）本合同按照中华人民共和国的现行法律进行解释。</w:t>
      </w:r>
    </w:p>
    <w:p w14:paraId="308F312B">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（以下无正文）</w:t>
      </w:r>
    </w:p>
    <w:p w14:paraId="738074A8">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甲  方（盖章）                             乙  方（盖章）</w:t>
      </w:r>
    </w:p>
    <w:p w14:paraId="71128A3D">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单位名称：                                 单位名称：</w:t>
      </w:r>
    </w:p>
    <w:p w14:paraId="6FB31E73">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地  址：                                   地  址：</w:t>
      </w:r>
    </w:p>
    <w:p w14:paraId="1929E4C0">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法定代表人                                 法定代表人</w:t>
      </w:r>
    </w:p>
    <w:p w14:paraId="5BADF28D">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或授权委托人（签字或盖章）：               或授权委托人（签字或盖章）：</w:t>
      </w:r>
    </w:p>
    <w:p w14:paraId="5E9EC740">
      <w:pPr>
        <w:tabs>
          <w:tab w:val="left" w:pos="480"/>
        </w:tabs>
        <w:spacing w:line="360" w:lineRule="auto"/>
        <w:rPr>
          <w:rFonts w:hint="eastAsia" w:ascii="宋体" w:hAnsi="宋体" w:eastAsia="宋体" w:cs="宋体"/>
          <w:bCs/>
          <w:color w:val="auto"/>
          <w:sz w:val="21"/>
          <w:szCs w:val="21"/>
          <w:highlight w:val="none"/>
          <w:shd w:val="clear" w:color="auto" w:fill="auto"/>
        </w:rPr>
      </w:pPr>
    </w:p>
    <w:p w14:paraId="2C7B6D62">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代理人：                                   代理人：</w:t>
      </w:r>
    </w:p>
    <w:p w14:paraId="4BE16FB3">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 xml:space="preserve">                                           开户银行：</w:t>
      </w:r>
    </w:p>
    <w:p w14:paraId="6038A9C7">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 xml:space="preserve">                                           账  号：</w:t>
      </w:r>
    </w:p>
    <w:p w14:paraId="12079FB2">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联系电话：                                 联系电话：</w:t>
      </w:r>
    </w:p>
    <w:p w14:paraId="30831048">
      <w:pPr>
        <w:spacing w:line="360" w:lineRule="auto"/>
        <w:ind w:firstLine="420"/>
        <w:rPr>
          <w:rFonts w:hint="eastAsia" w:ascii="宋体" w:hAnsi="宋体" w:eastAsia="宋体" w:cs="宋体"/>
          <w:color w:val="auto"/>
          <w:sz w:val="24"/>
          <w:szCs w:val="24"/>
          <w:highlight w:val="none"/>
          <w:shd w:val="clear" w:color="auto" w:fill="auto"/>
        </w:rPr>
      </w:pPr>
      <w:r>
        <w:rPr>
          <w:rFonts w:hint="eastAsia" w:ascii="宋体" w:hAnsi="宋体" w:eastAsia="宋体" w:cs="宋体"/>
          <w:bCs/>
          <w:color w:val="auto"/>
          <w:sz w:val="21"/>
          <w:szCs w:val="21"/>
          <w:highlight w:val="none"/>
          <w:shd w:val="clear" w:color="auto" w:fill="auto"/>
        </w:rPr>
        <w:t>签订日期：     年    月      日            签订日期：     年    月   日</w:t>
      </w:r>
    </w:p>
    <w:p w14:paraId="542D40F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1922A8"/>
    <w:rsid w:val="2AC1561E"/>
    <w:rsid w:val="563174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0" w:after="10" w:line="240" w:lineRule="auto"/>
      <w:jc w:val="center"/>
      <w:outlineLvl w:val="0"/>
    </w:pPr>
    <w:rPr>
      <w:b/>
      <w:bCs/>
      <w:kern w:val="44"/>
      <w:sz w:val="32"/>
      <w:szCs w:val="44"/>
    </w:rPr>
  </w:style>
  <w:style w:type="paragraph" w:styleId="3">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2164</Words>
  <Characters>2171</Characters>
  <Lines>0</Lines>
  <Paragraphs>0</Paragraphs>
  <TotalTime>1</TotalTime>
  <ScaleCrop>false</ScaleCrop>
  <LinksUpToDate>false</LinksUpToDate>
  <CharactersWithSpaces>2725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2025-12-12T08:16:00Z</dcterms:created>
  <dc:creator>PC3</dc:creator>
  <cp:lastModifiedBy>。</cp:lastModifiedBy>
  <dcterms:modified xsi:type="dcterms:W3CDTF">2025-12-13T03:10:02Z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eyJoZGlkIjoiMzkxMWQwNzc3MTg3M2FmOTM1YjkzNzlmZTQ0YzRlNjkiLCJ1c2VySWQiOiI4NTIxNDQwNzIifQ==</vt:lpwstr>
  </property>
  <property fmtid="{D5CDD505-2E9C-101B-9397-08002B2CF9AE}" pid="4" name="ICV">
    <vt:lpwstr>C48ECA7A47394E93AC390E3D0C8BAABB_13</vt:lpwstr>
  </property>
</Properties>
</file>