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版本号：SXDY-2025-40120251212002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陕西省咸阳市乾县2024年度农村人居环境整治建设项目设备采购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SXDY-2025-401</w:t>
      </w:r>
      <w:r>
        <w:br/>
      </w:r>
      <w:r>
        <w:br/>
      </w:r>
      <w:r>
        <w:br/>
      </w:r>
    </w:p>
    <w:p>
      <w:pPr>
        <w:pStyle w:val="null3"/>
        <w:jc w:val="center"/>
        <w:outlineLvl w:val="2"/>
      </w:pPr>
      <w:r>
        <w:rPr>
          <w:rFonts w:ascii="仿宋_GB2312" w:hAnsi="仿宋_GB2312" w:cs="仿宋_GB2312" w:eastAsia="仿宋_GB2312"/>
          <w:sz w:val="28"/>
          <w:b/>
        </w:rPr>
        <w:t>乾县农业农村局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乾县农业农村局</w:t>
      </w:r>
      <w:r>
        <w:rPr>
          <w:rFonts w:ascii="仿宋_GB2312" w:hAnsi="仿宋_GB2312" w:cs="仿宋_GB2312" w:eastAsia="仿宋_GB2312"/>
        </w:rPr>
        <w:t>委托，拟对</w:t>
      </w:r>
      <w:r>
        <w:rPr>
          <w:rFonts w:ascii="仿宋_GB2312" w:hAnsi="仿宋_GB2312" w:cs="仿宋_GB2312" w:eastAsia="仿宋_GB2312"/>
        </w:rPr>
        <w:t>陕西省咸阳市乾县2024年度农村人居环境整治建设项目设备采购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SXDY-2025-401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陕西省咸阳市乾县2024年度农村人居环境整治建设项目设备采购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采购分类垃圾桶129个，垃圾收集屋6座，垃圾收集车14辆，垃圾转运车5辆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1、营业执照：具有合法有效的营业执照、组织机构代码证、税务登记证（或统一社会信用代码的营业执照）；</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4、税收缴纳证明：提供2025年1月至今至少一个月已缴纳的增值税或营业税或企业所得税或印花税的凭据或完税证明；依法免税的投标人应提供相关证明文件；</w:t>
      </w:r>
    </w:p>
    <w:p>
      <w:pPr>
        <w:pStyle w:val="null3"/>
      </w:pPr>
      <w:r>
        <w:rPr>
          <w:rFonts w:ascii="仿宋_GB2312" w:hAnsi="仿宋_GB2312" w:cs="仿宋_GB2312" w:eastAsia="仿宋_GB2312"/>
        </w:rPr>
        <w:t>5、参加政府采购活动前3年内在经营活动中没有重大违法记录（声明）：参加政府采购活动前3年内在经营活动中没有重大违法记录；</w:t>
      </w:r>
    </w:p>
    <w:p>
      <w:pPr>
        <w:pStyle w:val="null3"/>
      </w:pPr>
      <w:r>
        <w:rPr>
          <w:rFonts w:ascii="仿宋_GB2312" w:hAnsi="仿宋_GB2312" w:cs="仿宋_GB2312" w:eastAsia="仿宋_GB2312"/>
        </w:rPr>
        <w:t>6、提供具有履行合同所必须的设备和专业技术能力的书面承诺：提供具有履行合同所必须的设备和专业技术能力的书面承诺</w:t>
      </w:r>
    </w:p>
    <w:p>
      <w:pPr>
        <w:pStyle w:val="null3"/>
      </w:pPr>
      <w:r>
        <w:rPr>
          <w:rFonts w:ascii="仿宋_GB2312" w:hAnsi="仿宋_GB2312" w:cs="仿宋_GB2312" w:eastAsia="仿宋_GB2312"/>
        </w:rPr>
        <w:t>7、信用主体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8、法人代表证明或法人授权委托书：法人代表证明或法人授权委托书，后附法人及被委托人身份证（法定代表人直接参加投标的只需提供法定代表人身份证）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9、本项目不接受联合体：本项目不接受联合体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陕西省咸阳市乾县文前巷1号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02935521661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西安市雁塔区朱雀大街南段汇成天玺C座11层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029-88689013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采购包1：614,470.00元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乾县农业农村局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联系人：陈娜</w:t>
      </w:r>
    </w:p>
    <w:p>
      <w:pPr>
        <w:pStyle w:val="null3"/>
      </w:pPr>
      <w:r>
        <w:rPr>
          <w:rFonts w:ascii="仿宋_GB2312" w:hAnsi="仿宋_GB2312" w:cs="仿宋_GB2312" w:eastAsia="仿宋_GB2312"/>
        </w:rPr>
        <w:t>联系电话：029-88689013</w:t>
      </w:r>
    </w:p>
    <w:p>
      <w:pPr>
        <w:pStyle w:val="null3"/>
      </w:pPr>
      <w:r>
        <w:rPr>
          <w:rFonts w:ascii="仿宋_GB2312" w:hAnsi="仿宋_GB2312" w:cs="仿宋_GB2312" w:eastAsia="仿宋_GB2312"/>
        </w:rPr>
        <w:t>地址：西咸新区沣西新城天兴大厦 1710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采购分类垃圾桶129个，垃圾收集屋6座，垃圾收集车14辆，垃圾转运车5辆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614,470.00</w:t>
      </w:r>
    </w:p>
    <w:p>
      <w:pPr>
        <w:pStyle w:val="null3"/>
      </w:pPr>
      <w:r>
        <w:rPr>
          <w:rFonts w:ascii="仿宋_GB2312" w:hAnsi="仿宋_GB2312" w:cs="仿宋_GB2312" w:eastAsia="仿宋_GB2312"/>
        </w:rPr>
        <w:t>采购包最高限价（元）: 614,470.00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垃圾收集车14辆，垃圾转运车5辆，分类垃圾桶129个，垃圾收集屋6座。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614,470.00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标的名称：垃圾收集车14辆，垃圾转运车5辆，分类垃圾桶129个，垃圾收集屋6座。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122"/>
              <w:gridCol w:w="238"/>
              <w:gridCol w:w="940"/>
              <w:gridCol w:w="873"/>
              <w:gridCol w:w="158"/>
              <w:gridCol w:w="222"/>
            </w:tblGrid>
            <w:tr>
              <w:tc>
                <w:tcPr>
                  <w:tcW w:type="dxa" w:w="1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序号</w:t>
                  </w:r>
                </w:p>
                <w:p>
                  <w:pPr>
                    <w:pStyle w:val="null3"/>
                    <w:jc w:val="both"/>
                  </w:pPr>
                  <w:r>
                    <w:rPr>
                      <w:rFonts w:ascii="仿宋_GB2312" w:hAnsi="仿宋_GB2312" w:cs="仿宋_GB2312" w:eastAsia="仿宋_GB2312"/>
                      <w:sz w:val="19"/>
                    </w:rPr>
                    <w:t xml:space="preserve"> </w:t>
                  </w:r>
                </w:p>
              </w:tc>
              <w:tc>
                <w:tcPr>
                  <w:tcW w:type="dxa" w:w="2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采购内容</w:t>
                  </w:r>
                </w:p>
              </w:tc>
              <w:tc>
                <w:tcPr>
                  <w:tcW w:type="dxa" w:w="1813"/>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22"/>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813"/>
                  <w:gridSpan w:val="2"/>
                  <w:vMerge/>
                  <w:tcBorders>
                    <w:top w:val="single" w:color="000000" w:sz="4"/>
                    <w:left w:val="single" w:color="000000" w:sz="4"/>
                    <w:bottom w:val="single" w:color="000000" w:sz="4"/>
                    <w:right w:val="single" w:color="000000" w:sz="4"/>
                  </w:tcBorders>
                </w:tc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分类垃圾桶</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cm：≥53*55*102</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容积：</w:t>
                  </w:r>
                  <w:r>
                    <w:rPr>
                      <w:rFonts w:ascii="仿宋_GB2312" w:hAnsi="仿宋_GB2312" w:cs="仿宋_GB2312" w:eastAsia="仿宋_GB2312"/>
                      <w:sz w:val="21"/>
                      <w:color w:val="000000"/>
                    </w:rPr>
                    <w:t>240L</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PE/PP</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重量：</w:t>
                  </w:r>
                  <w:r>
                    <w:rPr>
                      <w:rFonts w:ascii="仿宋_GB2312" w:hAnsi="仿宋_GB2312" w:cs="仿宋_GB2312" w:eastAsia="仿宋_GB2312"/>
                      <w:sz w:val="21"/>
                      <w:color w:val="000000"/>
                    </w:rPr>
                    <w:t>≥12kg</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single" w:color="000000" w:sz="4"/>
                    <w:left w:val="single" w:color="000000" w:sz="4"/>
                    <w:bottom w:val="single" w:color="000000" w:sz="4"/>
                    <w:right w:val="single" w:color="000000" w:sz="4"/>
                  </w:tcBorders>
                </w:tc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垃圾收集屋</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面积：</w:t>
                  </w:r>
                  <w:r>
                    <w:rPr>
                      <w:rFonts w:ascii="仿宋_GB2312" w:hAnsi="仿宋_GB2312" w:cs="仿宋_GB2312" w:eastAsia="仿宋_GB2312"/>
                      <w:sz w:val="21"/>
                      <w:color w:val="000000"/>
                    </w:rPr>
                    <w:t>≥20平方米</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材质：金属板材、钢结构</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类型：全封闭</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功能：设有明显标识、具备分类垃圾投放、清洗垃圾桶、存放垃圾清扫设施等功能</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垃圾收集车</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外观：双桶垃圾收集车</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≥2700*900*1200mm</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整车重量：</w:t>
                  </w:r>
                  <w:r>
                    <w:rPr>
                      <w:rFonts w:ascii="仿宋_GB2312" w:hAnsi="仿宋_GB2312" w:cs="仿宋_GB2312" w:eastAsia="仿宋_GB2312"/>
                      <w:sz w:val="21"/>
                      <w:color w:val="000000"/>
                    </w:rPr>
                    <w:t>≥126kg</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载重：</w:t>
                  </w:r>
                  <w:r>
                    <w:rPr>
                      <w:rFonts w:ascii="仿宋_GB2312" w:hAnsi="仿宋_GB2312" w:cs="仿宋_GB2312" w:eastAsia="仿宋_GB2312"/>
                      <w:sz w:val="21"/>
                      <w:color w:val="000000"/>
                    </w:rPr>
                    <w:t>≥300kg</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续航里程：</w:t>
                  </w:r>
                  <w:r>
                    <w:rPr>
                      <w:rFonts w:ascii="仿宋_GB2312" w:hAnsi="仿宋_GB2312" w:cs="仿宋_GB2312" w:eastAsia="仿宋_GB2312"/>
                      <w:sz w:val="21"/>
                      <w:color w:val="000000"/>
                    </w:rPr>
                    <w:t>≥25km</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轴距：</w:t>
                  </w:r>
                  <w:r>
                    <w:rPr>
                      <w:rFonts w:ascii="仿宋_GB2312" w:hAnsi="仿宋_GB2312" w:cs="仿宋_GB2312" w:eastAsia="仿宋_GB2312"/>
                      <w:sz w:val="21"/>
                      <w:color w:val="000000"/>
                    </w:rPr>
                    <w:t>≥2100mm</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电池：</w:t>
                  </w:r>
                  <w:r>
                    <w:rPr>
                      <w:rFonts w:ascii="仿宋_GB2312" w:hAnsi="仿宋_GB2312" w:cs="仿宋_GB2312" w:eastAsia="仿宋_GB2312"/>
                      <w:sz w:val="21"/>
                      <w:color w:val="000000"/>
                    </w:rPr>
                    <w:t>48V20Ah免维护铅酸电池</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控制器：硬启动控制、带倒车</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车架：整车加厚壁管、全车电泳</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车厢：适合装载</w:t>
                  </w:r>
                  <w:r>
                    <w:rPr>
                      <w:rFonts w:ascii="仿宋_GB2312" w:hAnsi="仿宋_GB2312" w:cs="仿宋_GB2312" w:eastAsia="仿宋_GB2312"/>
                      <w:sz w:val="21"/>
                      <w:color w:val="000000"/>
                    </w:rPr>
                    <w:t>240L标准垃圾桶2个</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轮胎数量：</w:t>
                  </w:r>
                  <w:r>
                    <w:rPr>
                      <w:rFonts w:ascii="仿宋_GB2312" w:hAnsi="仿宋_GB2312" w:cs="仿宋_GB2312" w:eastAsia="仿宋_GB2312"/>
                      <w:sz w:val="21"/>
                      <w:color w:val="000000"/>
                    </w:rPr>
                    <w:t>3</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其他功能：电喇叭、倒车蜂鸣器、警示灯</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垃圾转运车</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:≥长4400*宽1500*高1980</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总质量（</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≥1900</w:t>
                  </w:r>
                </w:p>
              </w:tc>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2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装载质量</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r>
                    <w:rPr>
                      <w:rFonts w:ascii="仿宋_GB2312" w:hAnsi="仿宋_GB2312" w:cs="仿宋_GB2312" w:eastAsia="仿宋_GB2312"/>
                      <w:sz w:val="21"/>
                      <w:color w:val="000000"/>
                    </w:rPr>
                    <w:t>≥580</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轴距</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≥2900</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驾驶室：全封闭</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后悬架型式：钢板弹簧</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变速器型式：</w:t>
                  </w:r>
                  <w:r>
                    <w:rPr>
                      <w:rFonts w:ascii="仿宋_GB2312" w:hAnsi="仿宋_GB2312" w:cs="仿宋_GB2312" w:eastAsia="仿宋_GB2312"/>
                      <w:sz w:val="21"/>
                      <w:color w:val="000000"/>
                    </w:rPr>
                    <w:t>3+1机械式</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驱动形式：</w:t>
                  </w:r>
                  <w:r>
                    <w:rPr>
                      <w:rFonts w:ascii="仿宋_GB2312" w:hAnsi="仿宋_GB2312" w:cs="仿宋_GB2312" w:eastAsia="仿宋_GB2312"/>
                      <w:sz w:val="21"/>
                      <w:color w:val="000000"/>
                    </w:rPr>
                    <w:t>3*2后轮驱动</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最高时速：</w:t>
                  </w:r>
                  <w:r>
                    <w:rPr>
                      <w:rFonts w:ascii="仿宋_GB2312" w:hAnsi="仿宋_GB2312" w:cs="仿宋_GB2312" w:eastAsia="仿宋_GB2312"/>
                      <w:sz w:val="21"/>
                      <w:color w:val="000000"/>
                    </w:rPr>
                    <w:t>≥45</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燃料种类：柴油</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发动机功率：</w:t>
                  </w:r>
                  <w:r>
                    <w:rPr>
                      <w:rFonts w:ascii="仿宋_GB2312" w:hAnsi="仿宋_GB2312" w:cs="仿宋_GB2312" w:eastAsia="仿宋_GB2312"/>
                      <w:sz w:val="21"/>
                      <w:color w:val="000000"/>
                    </w:rPr>
                    <w:t>≥15KW</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箱体容积：</w:t>
                  </w:r>
                  <w:r>
                    <w:rPr>
                      <w:rFonts w:ascii="仿宋_GB2312" w:hAnsi="仿宋_GB2312" w:cs="仿宋_GB2312" w:eastAsia="仿宋_GB2312"/>
                      <w:sz w:val="21"/>
                      <w:color w:val="000000"/>
                    </w:rPr>
                    <w:t>≥4立方米</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r>
              <w:tc>
                <w:tcPr>
                  <w:tcW w:type="dxa" w:w="122"/>
                  <w:vMerge/>
                  <w:tcBorders>
                    <w:top w:val="none" w:color="000000" w:sz="4"/>
                    <w:left w:val="single" w:color="000000" w:sz="4"/>
                    <w:bottom w:val="single" w:color="000000" w:sz="4"/>
                    <w:right w:val="single" w:color="000000" w:sz="4"/>
                  </w:tcBorders>
                </w:tcPr>
                <w:p/>
              </w:tc>
              <w:tc>
                <w:tcPr>
                  <w:tcW w:type="dxa" w:w="238"/>
                  <w:vMerge/>
                  <w:tcBorders>
                    <w:top w:val="none" w:color="000000" w:sz="4"/>
                    <w:left w:val="single" w:color="000000" w:sz="4"/>
                    <w:bottom w:val="singl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箱体材质：优质碳钢板、箱体内外喷粉烤漆</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装卸方式：液压提升自翻、液压自卸</w:t>
                  </w:r>
                </w:p>
              </w:tc>
              <w:tc>
                <w:tcPr>
                  <w:tcW w:type="dxa" w:w="158"/>
                  <w:vMerge/>
                  <w:tcBorders>
                    <w:top w:val="none" w:color="000000" w:sz="4"/>
                    <w:left w:val="single" w:color="000000" w:sz="4"/>
                    <w:bottom w:val="single" w:color="000000" w:sz="4"/>
                    <w:right w:val="single" w:color="000000" w:sz="4"/>
                  </w:tcBorders>
                </w:tcPr>
                <w:p/>
              </w:tc>
              <w:tc>
                <w:tcPr>
                  <w:tcW w:type="dxa" w:w="222"/>
                  <w:vMerge/>
                  <w:tcBorders>
                    <w:top w:val="none" w:color="000000" w:sz="4"/>
                    <w:left w:val="single" w:color="000000" w:sz="4"/>
                    <w:bottom w:val="single" w:color="000000" w:sz="4"/>
                    <w:right w:val="single" w:color="000000" w:sz="4"/>
                  </w:tcBorders>
                </w:tcP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陕西省咸阳市乾县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如果协商开始后六十（60）天还不能解决，双方可依以下一种方式解决：①双方达成仲裁协议，向约定的仲裁委员会申请仲裁；②向甲方住所地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本项目设单价最高限价，供应商报价过程中，各采购清单单价不得超过单价最高限价。 分类垃圾桶，单价最高限价：230元/个；垃圾收集屋，单价最高限价：43200元/座；垃圾收集车，单价最高限价：5650元/辆；垃圾转运车，单价最高限价：49300元/辆。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提供2025年1月至今至少一个月已缴纳的增值税或营业税或企业所得税或印花税的凭据或完税证明；依法免税的投标人应提供相关证明文件；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提供具有履行合同所必须的设备和专业技术能力的书面承诺</w:t>
            </w:r>
          </w:p>
        </w:tc>
        <w:tc>
          <w:tcPr>
            <w:tcW w:type="dxa" w:w="3322"/>
          </w:tcPr>
          <w:p>
            <w:pPr>
              <w:pStyle w:val="null3"/>
            </w:pPr>
            <w:r>
              <w:rPr>
                <w:rFonts w:ascii="仿宋_GB2312" w:hAnsi="仿宋_GB2312" w:cs="仿宋_GB2312" w:eastAsia="仿宋_GB2312"/>
              </w:rPr>
              <w:t>提供具有履行合同所必须的设备和专业技术能力的书面承诺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法定代表人身份证明及法定代表人授权委托书.pdf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法定代表人身份证明及法定代表人授权委托书.pdf 开标一览表 产品技术参数表 投标函 中小企业声明函 残疾人福利性单位声明函 商务应答表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根据投标人所投产品的产品技术资料、相应功能证明材料（包括但不限于测试报告、彩页、官网、公告和功能截图等）等佐证材料，从设备的技术指标、配置、性能等多方面因素进行评价。 完全响应招标文件技术参数、性能要求的记 20 分。参数负偏离一项扣 1 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（1）提供货物所投产品使用说明介绍或彩页或检测报告或官网截图，每提供一个产品得0.5 分，最多得 2 分，该项未提供得0分。 （2）供应商提供详细的质量保证措施。质量保证措施得力，能有效地保障项目实施过程的衔接、保证项目质量。 措施全面、具体、可行、科学合理得[1-4]分，该项未提供得0分。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项目实施方案包含：①人员配置方案、②项目进度安排、③安装调试措施、④验收方式与手段、⑤组织协调措施、⑥应急处置措施。 以上内容应明确、详实全面、针对性强、便于实施，每提供一项得[1-3]分，满分 18 分，该项未提供得0分。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 年 1月至今类似项目的合同或中标（成交）通知书，每提供一份中标（成交）通知书或中标项目完整合同业绩计 2.5分，最高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 方案</w:t>
            </w:r>
          </w:p>
        </w:tc>
        <w:tc>
          <w:tcPr>
            <w:tcW w:type="dxa" w:w="2492"/>
          </w:tcPr>
          <w:p>
            <w:pPr>
              <w:pStyle w:val="null3"/>
            </w:pPr>
            <w:r>
              <w:rPr>
                <w:rFonts w:ascii="仿宋_GB2312" w:hAnsi="仿宋_GB2312" w:cs="仿宋_GB2312" w:eastAsia="仿宋_GB2312"/>
              </w:rPr>
              <w:t>售后服务方案包含：①售后服务机构、②售后服务人员安排、③售后服务质量保证措施、④售后服务响应时间与处理时间、⑤售后服务内容。以上内容应明确、详实全面、针对性强、便于实施，每提供一项得[1-3]分，满分 17 分，该项未提供得0分。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培训方案包含：①有关驾驶员、②维修技工、③技术管理人员进行车辆使用、车辆维修等的全面技术培训。 以上内容应明确、详实全面、针对性强、便于实施，每提供一项得[1-2]分，满分 6 分，该项未提供得0分。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号）的有关规定：价格分采用低价优先法计算，即满足招标文件要求且投标价格最低的投标报价为评标基准价，其价格分为满分。其他投标人的价格分统一按照下列公式计算： 投标报价得分=（评标基准价/投标报价） ×价格权值（即 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详见附件：法定代表人身份证明及法定代表人授权委托书.pdf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