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版本号：QXZC-GK2025A01420260107002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乾县薛家培才中心小学学习生活设备采购项目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QXZC-GK2025A014</w:t>
      </w:r>
      <w:r>
        <w:br/>
      </w:r>
      <w:r>
        <w:br/>
      </w:r>
      <w:r>
        <w:br/>
      </w:r>
    </w:p>
    <w:p>
      <w:pPr>
        <w:pStyle w:val="null3"/>
        <w:jc w:val="center"/>
        <w:outlineLvl w:val="2"/>
      </w:pPr>
      <w:r>
        <w:rPr>
          <w:rFonts w:ascii="仿宋_GB2312" w:hAnsi="仿宋_GB2312" w:cs="仿宋_GB2312" w:eastAsia="仿宋_GB2312"/>
          <w:sz w:val="28"/>
          <w:b/>
        </w:rPr>
        <w:t>乾县峰阳薛家培才中心小学</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乾县峰阳薛家培才中心小学</w:t>
      </w:r>
      <w:r>
        <w:rPr>
          <w:rFonts w:ascii="仿宋_GB2312" w:hAnsi="仿宋_GB2312" w:cs="仿宋_GB2312" w:eastAsia="仿宋_GB2312"/>
        </w:rPr>
        <w:t>委托，拟对</w:t>
      </w:r>
      <w:r>
        <w:rPr>
          <w:rFonts w:ascii="仿宋_GB2312" w:hAnsi="仿宋_GB2312" w:cs="仿宋_GB2312" w:eastAsia="仿宋_GB2312"/>
        </w:rPr>
        <w:t>乾县薛家培才中心小学学习生活设备采购项目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QXZC-GK2025A014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乾县薛家培才中心小学学习生活设备采购项目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可午息课桌椅430套，餐桌椅70套，速印机1台，校园广播1套，照明灯具132个，餐盘450个，电路改造1项。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pPr>
        <w:pStyle w:val="null3"/>
      </w:pPr>
      <w:r>
        <w:rPr>
          <w:rFonts w:ascii="仿宋_GB2312" w:hAnsi="仿宋_GB2312" w:cs="仿宋_GB2312" w:eastAsia="仿宋_GB2312"/>
        </w:rPr>
        <w:t>7、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8、非联合体投标：本项目要求独立法人，不接受联合体投标。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乾县峰阳薛家培才中心小学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乾县峰阳薛家村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乾县峰阳薛家培才中心小学经办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18089167010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乾县东新街财政局院内南一楼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王先生/许先生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照明灯具</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照明灯具</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乾县峰阳薛家培才中心小学</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乾县峰阳薛家培才中心小学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乾县峰阳薛家培才中心小学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联系人：王先生/许先生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地址：乾县东新街财政局院内南一楼</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可午息课桌椅430套，餐桌椅70套，速印机1台，校园广播1套，照明灯具132个，餐盘450个，电路改造1项。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414,800.00</w:t>
      </w:r>
    </w:p>
    <w:p>
      <w:pPr>
        <w:pStyle w:val="null3"/>
      </w:pPr>
      <w:r>
        <w:rPr>
          <w:rFonts w:ascii="仿宋_GB2312" w:hAnsi="仿宋_GB2312" w:cs="仿宋_GB2312" w:eastAsia="仿宋_GB2312"/>
        </w:rPr>
        <w:t>采购包最高限价（元）: 414,800.00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乾县峰阳薛家培才中心小学学习生活设备采购项目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标的名称：乾县峰阳薛家培才中心小学学习生活设备采购项目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6"/>
              <w:gridCol w:w="384"/>
              <w:gridCol w:w="1421"/>
              <w:gridCol w:w="282"/>
              <w:gridCol w:w="282"/>
            </w:tblGrid>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名称</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详细技术参数，规格型号</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可午息课桌椅</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桌子尺寸：约600*450*670-790mm±10mm(注:桌面距地面螺丝调节高度：670mm-790mm)。手摇式升降，带扶手，钢结构焊接架表面烤漆处理。</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餐桌椅</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桌面1200mm*600mm</w:t>
                  </w:r>
                  <w:r>
                    <w:br/>
                  </w:r>
                  <w:r>
                    <w:rPr>
                      <w:rFonts w:ascii="仿宋_GB2312" w:hAnsi="仿宋_GB2312" w:cs="仿宋_GB2312" w:eastAsia="仿宋_GB2312"/>
                      <w:sz w:val="18"/>
                      <w:color w:val="000000"/>
                    </w:rPr>
                    <w:t xml:space="preserve"> 桌面≥23mm（实木颗粒板）</w:t>
                  </w:r>
                  <w:r>
                    <w:br/>
                  </w:r>
                  <w:r>
                    <w:rPr>
                      <w:rFonts w:ascii="仿宋_GB2312" w:hAnsi="仿宋_GB2312" w:cs="仿宋_GB2312" w:eastAsia="仿宋_GB2312"/>
                      <w:sz w:val="18"/>
                      <w:color w:val="000000"/>
                    </w:rPr>
                    <w:t xml:space="preserve"> 凳面:≥23mm（实木颗粒板）</w:t>
                  </w:r>
                  <w:r>
                    <w:br/>
                  </w:r>
                  <w:r>
                    <w:rPr>
                      <w:rFonts w:ascii="仿宋_GB2312" w:hAnsi="仿宋_GB2312" w:cs="仿宋_GB2312" w:eastAsia="仿宋_GB2312"/>
                      <w:sz w:val="18"/>
                      <w:color w:val="000000"/>
                    </w:rPr>
                    <w:t xml:space="preserve"> 桌腿：约40*40*1.2mm</w:t>
                  </w:r>
                  <w:r>
                    <w:br/>
                  </w:r>
                  <w:r>
                    <w:rPr>
                      <w:rFonts w:ascii="仿宋_GB2312" w:hAnsi="仿宋_GB2312" w:cs="仿宋_GB2312" w:eastAsia="仿宋_GB2312"/>
                      <w:sz w:val="18"/>
                      <w:color w:val="000000"/>
                    </w:rPr>
                    <w:t xml:space="preserve"> 凳腿：约25*25*1.2mm</w:t>
                  </w:r>
                  <w:r>
                    <w:br/>
                  </w:r>
                  <w:r>
                    <w:rPr>
                      <w:rFonts w:ascii="仿宋_GB2312" w:hAnsi="仿宋_GB2312" w:cs="仿宋_GB2312" w:eastAsia="仿宋_GB2312"/>
                      <w:sz w:val="18"/>
                      <w:color w:val="000000"/>
                    </w:rPr>
                    <w:t xml:space="preserve">  4人位、钢结构焊接架表面烤漆处理。</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速印机</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扫描分辨率：约300×600dpi。</w:t>
                  </w:r>
                  <w:r>
                    <w:br/>
                  </w:r>
                  <w:r>
                    <w:rPr>
                      <w:rFonts w:ascii="仿宋_GB2312" w:hAnsi="仿宋_GB2312" w:cs="仿宋_GB2312" w:eastAsia="仿宋_GB2312"/>
                      <w:sz w:val="18"/>
                      <w:color w:val="000000"/>
                    </w:rPr>
                    <w:t xml:space="preserve"> 扫描区域：约297mm×435mm。</w:t>
                  </w:r>
                  <w:r>
                    <w:br/>
                  </w:r>
                  <w:r>
                    <w:rPr>
                      <w:rFonts w:ascii="仿宋_GB2312" w:hAnsi="仿宋_GB2312" w:cs="仿宋_GB2312" w:eastAsia="仿宋_GB2312"/>
                      <w:sz w:val="18"/>
                      <w:color w:val="000000"/>
                    </w:rPr>
                    <w:t xml:space="preserve"> 印刷速度：每分钟60、80、100、120、130张（5档速度调节）。</w:t>
                  </w:r>
                  <w:r>
                    <w:br/>
                  </w:r>
                  <w:r>
                    <w:rPr>
                      <w:rFonts w:ascii="仿宋_GB2312" w:hAnsi="仿宋_GB2312" w:cs="仿宋_GB2312" w:eastAsia="仿宋_GB2312"/>
                      <w:sz w:val="18"/>
                      <w:color w:val="000000"/>
                    </w:rPr>
                    <w:t xml:space="preserve"> ADF：10张原稿扫描。</w:t>
                  </w:r>
                  <w:r>
                    <w:br/>
                  </w:r>
                  <w:r>
                    <w:rPr>
                      <w:rFonts w:ascii="仿宋_GB2312" w:hAnsi="仿宋_GB2312" w:cs="仿宋_GB2312" w:eastAsia="仿宋_GB2312"/>
                      <w:sz w:val="18"/>
                      <w:color w:val="000000"/>
                    </w:rPr>
                    <w:t xml:space="preserve"> 纸张重量：35-128g/㎡。</w:t>
                  </w:r>
                  <w:r>
                    <w:br/>
                  </w:r>
                  <w:r>
                    <w:rPr>
                      <w:rFonts w:ascii="仿宋_GB2312" w:hAnsi="仿宋_GB2312" w:cs="仿宋_GB2312" w:eastAsia="仿宋_GB2312"/>
                      <w:sz w:val="18"/>
                      <w:color w:val="000000"/>
                    </w:rPr>
                    <w:t xml:space="preserve"> 缩放倍率：标准3级放大4级缩小。</w:t>
                  </w:r>
                  <w:r>
                    <w:br/>
                  </w:r>
                  <w:r>
                    <w:rPr>
                      <w:rFonts w:ascii="仿宋_GB2312" w:hAnsi="仿宋_GB2312" w:cs="仿宋_GB2312" w:eastAsia="仿宋_GB2312"/>
                      <w:sz w:val="18"/>
                      <w:color w:val="000000"/>
                    </w:rPr>
                    <w:t xml:space="preserve"> 功能特点：二合一功能、自动进稿、自动进程、保密模式、用户模式、编程印刷、扫描浓度调整、RISOIQ系统节能、环保设计。</w:t>
                  </w:r>
                  <w:r>
                    <w:br/>
                  </w:r>
                  <w:r>
                    <w:rPr>
                      <w:rFonts w:ascii="仿宋_GB2312" w:hAnsi="仿宋_GB2312" w:cs="仿宋_GB2312" w:eastAsia="仿宋_GB2312"/>
                      <w:sz w:val="18"/>
                      <w:color w:val="000000"/>
                    </w:rPr>
                    <w:t xml:space="preserve"> 图像处理模式：文字、照片、图文、铅笔模式。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校园广播</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1.智能广播主机 1台。内存≥8GB，外扩展SD卡、≥32GB；可控制6路分区器，2路音频定时输出。</w:t>
                  </w:r>
                  <w:r>
                    <w:br/>
                  </w:r>
                  <w:r>
                    <w:rPr>
                      <w:rFonts w:ascii="仿宋_GB2312" w:hAnsi="仿宋_GB2312" w:cs="仿宋_GB2312" w:eastAsia="仿宋_GB2312"/>
                      <w:sz w:val="18"/>
                      <w:color w:val="000000"/>
                    </w:rPr>
                    <w:t xml:space="preserve">  2.鹅颈式会议话筒（单支）6支，灵敏度：-40dB±2dB 频率响应：40Hz-16KHz输出阻抗：75Ω，有效拾音距离：10-15cm</w:t>
                  </w:r>
                  <w:r>
                    <w:br/>
                  </w:r>
                  <w:r>
                    <w:rPr>
                      <w:rFonts w:ascii="仿宋_GB2312" w:hAnsi="仿宋_GB2312" w:cs="仿宋_GB2312" w:eastAsia="仿宋_GB2312"/>
                      <w:sz w:val="18"/>
                      <w:color w:val="000000"/>
                    </w:rPr>
                    <w:t xml:space="preserve">  3.数字调谐器 1台。数字调谐系统轻触式按键操作VFD显示自动搜索和记忆功能AM/FM各可存储不小于40台，断电记忆功能。  4.CD/DVD播放器1台。支持CD/VCD/DVD/MP3等音频格式播放可外接USB播放MP3音乐二路音频信号，左右声道输出轻触式按键操作，可遥控控制。</w:t>
                  </w:r>
                  <w:r>
                    <w:br/>
                  </w:r>
                  <w:r>
                    <w:rPr>
                      <w:rFonts w:ascii="仿宋_GB2312" w:hAnsi="仿宋_GB2312" w:cs="仿宋_GB2312" w:eastAsia="仿宋_GB2312"/>
                      <w:sz w:val="18"/>
                      <w:color w:val="000000"/>
                    </w:rPr>
                    <w:t xml:space="preserve">  5.8路电源时序器 1台。1路长通电源输出插座，8路电源输出插座，每路之间间隔1.5秒工作，时序器按顺序启动，按逆顺关闭，每路最大输出电流30A，数码电压显示屏。</w:t>
                  </w:r>
                  <w:r>
                    <w:br/>
                  </w:r>
                  <w:r>
                    <w:rPr>
                      <w:rFonts w:ascii="仿宋_GB2312" w:hAnsi="仿宋_GB2312" w:cs="仿宋_GB2312" w:eastAsia="仿宋_GB2312"/>
                      <w:sz w:val="18"/>
                      <w:color w:val="000000"/>
                    </w:rPr>
                    <w:t xml:space="preserve">  6.功放2台。额定功率：≥200W，不少于5路分区输出，独立调节每个分区音量，不少于3路线路输入、1路线路音源输出、3路话筒输入、MIC1带默音强切优先功能，带MP3播放器、带USB/SD卡插口，FM收音功能、数显、带蓝牙，具有短路、过载、过热保护功能</w:t>
                  </w:r>
                  <w:r>
                    <w:br/>
                  </w:r>
                  <w:r>
                    <w:rPr>
                      <w:rFonts w:ascii="仿宋_GB2312" w:hAnsi="仿宋_GB2312" w:cs="仿宋_GB2312" w:eastAsia="仿宋_GB2312"/>
                      <w:sz w:val="18"/>
                      <w:color w:val="000000"/>
                    </w:rPr>
                    <w:t xml:space="preserve">  7.功放1台。额定功率：≥1000W，不少于6路分区输出音量独立调控、3路线路输入、1路线路音源输出、3路话筒输入、MIC1带默音强切优先功能、带MP3播放器，带USB/SD卡插口，FM收音功能，数显，带蓝牙，具有短路、过载。</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照明灯具</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全光谱防眩护眼专用照明灯，吸顶吊杆安装，Ra≥90，</w:t>
                  </w:r>
                  <w:r>
                    <w:br/>
                  </w:r>
                  <w:r>
                    <w:rPr>
                      <w:rFonts w:ascii="仿宋_GB2312" w:hAnsi="仿宋_GB2312" w:cs="仿宋_GB2312" w:eastAsia="仿宋_GB2312"/>
                      <w:sz w:val="18"/>
                      <w:color w:val="000000"/>
                    </w:rPr>
                    <w:t xml:space="preserve">  无频闪危害，色温≥5000K </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餐盘</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材质：食品级不锈钢，</w:t>
                  </w:r>
                  <w:r>
                    <w:br/>
                  </w:r>
                  <w:r>
                    <w:rPr>
                      <w:rFonts w:ascii="仿宋_GB2312" w:hAnsi="仿宋_GB2312" w:cs="仿宋_GB2312" w:eastAsia="仿宋_GB2312"/>
                      <w:sz w:val="18"/>
                      <w:color w:val="000000"/>
                    </w:rPr>
                    <w:t xml:space="preserve">  规格：约280x220x40mm</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电路改造</w:t>
                  </w:r>
                </w:p>
              </w:tc>
              <w:tc>
                <w:tcPr>
                  <w:tcW w:type="dxa" w:w="14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1.从变压器到食堂从走专线安装配电箱。</w:t>
                  </w:r>
                  <w:r>
                    <w:br/>
                  </w:r>
                  <w:r>
                    <w:rPr>
                      <w:rFonts w:ascii="仿宋_GB2312" w:hAnsi="仿宋_GB2312" w:cs="仿宋_GB2312" w:eastAsia="仿宋_GB2312"/>
                      <w:sz w:val="18"/>
                      <w:color w:val="000000"/>
                    </w:rPr>
                    <w:t xml:space="preserve"> 2.食堂内部的大型用电器从配电箱走专线。</w:t>
                  </w:r>
                  <w:r>
                    <w:br/>
                  </w:r>
                  <w:r>
                    <w:rPr>
                      <w:rFonts w:ascii="仿宋_GB2312" w:hAnsi="仿宋_GB2312" w:cs="仿宋_GB2312" w:eastAsia="仿宋_GB2312"/>
                      <w:sz w:val="18"/>
                      <w:color w:val="000000"/>
                    </w:rPr>
                    <w:t xml:space="preserve"> 3.东西楼的空调主线更换，空调电源连接到位保证正常运行，东西楼需安装防水配电箱。</w:t>
                  </w:r>
                  <w:r>
                    <w:br/>
                  </w:r>
                  <w:r>
                    <w:rPr>
                      <w:rFonts w:ascii="仿宋_GB2312" w:hAnsi="仿宋_GB2312" w:cs="仿宋_GB2312" w:eastAsia="仿宋_GB2312"/>
                      <w:sz w:val="18"/>
                      <w:color w:val="000000"/>
                    </w:rPr>
                    <w:t xml:space="preserve"> 4.教学楼内外的电源未通的全部接通，需要更换的更换到位。</w:t>
                  </w:r>
                  <w:r>
                    <w:br/>
                  </w:r>
                  <w:r>
                    <w:rPr>
                      <w:rFonts w:ascii="仿宋_GB2312" w:hAnsi="仿宋_GB2312" w:cs="仿宋_GB2312" w:eastAsia="仿宋_GB2312"/>
                      <w:sz w:val="18"/>
                      <w:color w:val="000000"/>
                    </w:rPr>
                    <w:t xml:space="preserve"> 5.综合办公楼以及全校电路老化的影响安全的更换，凌乱的电路线路走穿线管在墙体固定横平竖直。</w:t>
                  </w:r>
                  <w:r>
                    <w:br/>
                  </w:r>
                  <w:r>
                    <w:rPr>
                      <w:rFonts w:ascii="仿宋_GB2312" w:hAnsi="仿宋_GB2312" w:cs="仿宋_GB2312" w:eastAsia="仿宋_GB2312"/>
                      <w:sz w:val="18"/>
                      <w:color w:val="000000"/>
                    </w:rPr>
                    <w:t xml:space="preserve"> 6.全校的节能灯泡预计更换107个。明细详见附件一；</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bl>
          <w:tbl>
            <w:tblPr>
              <w:tblBorders>
                <w:top w:val="single"/>
                <w:left w:val="single"/>
                <w:bottom w:val="single"/>
                <w:right w:val="single"/>
                <w:insideH w:val="single"/>
                <w:insideV w:val="single"/>
              </w:tblBorders>
            </w:tblPr>
            <w:tblGrid>
              <w:gridCol w:w="377"/>
              <w:gridCol w:w="1042"/>
              <w:gridCol w:w="377"/>
              <w:gridCol w:w="377"/>
              <w:gridCol w:w="377"/>
            </w:tblGrid>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附件一                           </w:t>
                  </w:r>
                  <w:r>
                    <w:rPr>
                      <w:rFonts w:ascii="仿宋_GB2312" w:hAnsi="仿宋_GB2312" w:cs="仿宋_GB2312" w:eastAsia="仿宋_GB2312"/>
                      <w:sz w:val="32"/>
                      <w:color w:val="000000"/>
                    </w:rPr>
                    <w:t>电路改造清单</w:t>
                  </w: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品名</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备注</w:t>
                  </w: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70mm²架空铝线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5芯10mm²铜线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10mm²铜线一红一蓝</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6mm²铜线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2.5mm²铜线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35mm²铝线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4mm²铜线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2*4mm²白板铝线</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室内配电箱 500mm*600mm</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户外防水配电箱 400mm*500mm</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60mm*40mm线槽</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30*3mm接地扁铁</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M8*100mm膨胀螺丝</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M12*120mm的膨胀螺丝</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70mm²铜铝接线鼻子</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PVC胶带5色各5卷</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卷</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4P空开100A</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4P空开80A</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3P空开100A</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3P空开63A</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2P空开80A</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4位门型横担（50mm*500mm）</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2位门型横担（40mm*450mm）</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M5*3螺纹螺杆</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M10*40螺母带垫片</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TH35-7.5 空开轨道</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M8*100mm膨胀管</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20mm*1.0mmPVC线管</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86*86*35mm明装底盒</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16A空调专用插座</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100*60mmPVC线槽</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20mmPVC管卡</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袋</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20mmPVC线管接头</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10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综合楼东西楼更换灯泡28W节能灯</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107</w:t>
                  </w:r>
                </w:p>
              </w:tc>
              <w:tc>
                <w:tcPr>
                  <w:tcW w:type="dxa" w:w="37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乾县峰阳薛家培才中心小学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按照国家相关法律和规定，一年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投标人应提供的相应资质证明材料.docx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tc>
        <w:tc>
          <w:tcPr>
            <w:tcW w:type="dxa" w:w="1661"/>
          </w:tcPr>
          <w:p>
            <w:pPr>
              <w:pStyle w:val="null3"/>
            </w:pPr>
            <w:r>
              <w:rPr>
                <w:rFonts w:ascii="仿宋_GB2312" w:hAnsi="仿宋_GB2312" w:cs="仿宋_GB2312" w:eastAsia="仿宋_GB2312"/>
              </w:rPr>
              <w:t>投标人应提供的相应资质证明材料.docx 法定代表人证明书与授权委托书.docx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开标一览表 投标人应提供的相应资质证明材料.docx 法定代表人证明书与授权委托书.docx 中小企业声明函 商务应答表 分项报价表.docx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开标一览表 投标人应提供的相应资质证明材料.docx 法定代表人证明书与授权委托书.docx 中小企业声明函 商务应答表 分项报价表.docx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开标一览表 投标人应提供的相应资质证明材料.docx 法定代表人证明书与授权委托书.docx 中小企业声明函 商务应答表 分项报价表.docx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法定代表人证明书与授权委托书.docx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对招标文件技术要求作了明确且实质性响应；</w:t>
            </w:r>
          </w:p>
        </w:tc>
        <w:tc>
          <w:tcPr>
            <w:tcW w:type="dxa" w:w="1661"/>
          </w:tcPr>
          <w:p>
            <w:pPr>
              <w:pStyle w:val="null3"/>
            </w:pPr>
            <w:r>
              <w:rPr>
                <w:rFonts w:ascii="仿宋_GB2312" w:hAnsi="仿宋_GB2312" w:cs="仿宋_GB2312" w:eastAsia="仿宋_GB2312"/>
              </w:rPr>
              <w:t>产品技术参数表 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完全符合、满足招标文件技术参数要求的，计20分，技术指标每有一条负偏离扣1分，本项分扣完为止。 供应商应提供充足的佐证材料（佐证材料包括但不限于：产品彩页、检测报告、官网截图等证明材料）予以佐证，佐证材料应编制在公开招标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招标文件对交货期、质保期、付款方式、验收等商务要求进行详细说明，完全响应招标文件的计5分，交货期、质保期每项优于招标文件的加2.5分，最多加5分.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针对本项目有具体可行的售后服务方案及措施，包括售后服务人员、售后服务内容、售后服务网点、售后服务响应时间等。 1、售后服务方案内容具体、完整、详细、全面的计10分； 2、售后服务方案内容较为具体、较为完整、较为详细、较为全面能满足本项目需求的计8分； 3、售后服务方案内容基本具体、基本完整、基本详细、基本能满足本项目需求的计6分； 4、售后服务方案内容欠缺、薄弱的计4分； 5、未提供售后服务方案不得分。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提供2023年01月至今类似业绩（仅限于投标人自己实施的）每提供1份得2分，最多得10分。注：提供合同复印件加盖公章。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所投产品生产厂家有可靠、完善的管理制度；有足够的工艺、加工、检验能力；所投产品符合相关标准，有具体可行的质量保证承诺，保证使用单位能熟练正常使用。 1、内容具体、完整、详细、全面的计10分； 2、内容较为具体、较为完整、较为详细、较为全面能满足本项目需求的计8分； 3、内容基本具体、基本完整、基本详细、基本能满足本项目需求的计6分； 4、内容欠缺、薄弱的计4分； 5未提供质量保证及与质量保证有关内容的不计分。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履约能力承诺：资金筹措、仓储设施、运输工具、人员素质、管理水平等方面。 1、内容具体、完整、详细、全面的计10分； 2、内容较为具体、较为完整、较为详细、较为全面能满足本项目需求的计8分； 3、内容基本具体、基本完整、基本详细、基本能满足本项目需求的计6分； 4、内容欠缺、薄弱的计4分； 5、未提供履约能力承诺不得分。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按照有关规定：价格分采用低价优先法计算，即满足文件要求且最后报价最低的投标人的价格为基准价，其价格分为满分。其他投标人的价格分统一按照下列公式计算： 报价得分=（基准价/最终报价）×价格权值（30分）×100%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详见附件：投标人应提供的相应资质证明材料.docx</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详见附件：招标货物类合同.docx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