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版本号：SXBH2025-ZCDY-04420251219001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X射线血管造影系统球管采购</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SXBH2025-ZCDY-044</w:t>
      </w:r>
      <w:r>
        <w:br/>
      </w:r>
      <w:r>
        <w:br/>
      </w:r>
      <w:r>
        <w:br/>
      </w:r>
      <w:r>
        <w:br/>
      </w:r>
      <w:r>
        <w:br/>
      </w:r>
    </w:p>
    <w:p>
      <w:pPr>
        <w:pStyle w:val="null3"/>
        <w:jc w:val="center"/>
        <w:outlineLvl w:val="5"/>
      </w:pPr>
      <w:r>
        <w:rPr>
          <w:rFonts w:ascii="仿宋_GB2312" w:hAnsi="仿宋_GB2312" w:cs="仿宋_GB2312" w:eastAsia="仿宋_GB2312"/>
          <w:sz w:val="15"/>
          <w:b/>
        </w:rPr>
        <w:t>乾县中医医院</w:t>
      </w:r>
    </w:p>
    <w:p>
      <w:pPr>
        <w:pStyle w:val="null3"/>
        <w:jc w:val="center"/>
        <w:outlineLvl w:val="5"/>
      </w:pPr>
      <w:r>
        <w:rPr>
          <w:rFonts w:ascii="仿宋_GB2312" w:hAnsi="仿宋_GB2312" w:cs="仿宋_GB2312" w:eastAsia="仿宋_GB2312"/>
          <w:sz w:val="15"/>
          <w:b/>
        </w:rPr>
        <w:t>陕西博虹项目管理有限公司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乾县中医医院</w:t>
      </w:r>
      <w:r>
        <w:rPr>
          <w:rFonts w:ascii="仿宋_GB2312" w:hAnsi="仿宋_GB2312" w:cs="仿宋_GB2312" w:eastAsia="仿宋_GB2312"/>
        </w:rPr>
        <w:t>委托，拟对</w:t>
      </w:r>
      <w:r>
        <w:rPr>
          <w:rFonts w:ascii="仿宋_GB2312" w:hAnsi="仿宋_GB2312" w:cs="仿宋_GB2312" w:eastAsia="仿宋_GB2312"/>
        </w:rPr>
        <w:t>X射线血管造影系统球管采购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SXBH2025-ZCDY-044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X射线血管造影系统球管采购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医院现有X射线血管造影系统（东芝Infinix-i INFX-8000C）设备陈旧故障频出，且球管经过多次维修，本次球管损坏已经无法维修，虽然设备老旧，但DSA新设备费用高昂，经医院研究决定为现有DSA设备采购原装进口球管1套。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法定代表人授权书：供应商应授权合法的人员参加投标全过程，其中法定代表人直接参加投标的，须出具法人身份证，并与营业执照上信息一致。法定代表人授权代表参加投标的，须出具法定代表人授权书和被授权人身份证及被授权人本单位近三个月社保缴纳证明</w:t>
      </w:r>
    </w:p>
    <w:p>
      <w:pPr>
        <w:pStyle w:val="null3"/>
      </w:pPr>
      <w:r>
        <w:rPr>
          <w:rFonts w:ascii="仿宋_GB2312" w:hAnsi="仿宋_GB2312" w:cs="仿宋_GB2312" w:eastAsia="仿宋_GB2312"/>
        </w:rPr>
        <w:t>2、医疗器械经营许可证或经营备案凭证：供应商须具备医疗器械经营许可证或经营备案凭证（投标产品须在其经营范围内）</w:t>
      </w:r>
    </w:p>
    <w:p>
      <w:pPr>
        <w:pStyle w:val="null3"/>
      </w:pPr>
      <w:r>
        <w:rPr>
          <w:rFonts w:ascii="仿宋_GB2312" w:hAnsi="仿宋_GB2312" w:cs="仿宋_GB2312" w:eastAsia="仿宋_GB2312"/>
        </w:rPr>
        <w:t>3、医疗器械注册证：供应商须提供医疗器械注册证或医疗器械备案凭证。如球管没有单独注册证可提供DSA系统注册证，如DSA设备停产注册证过期请提供相关说明并加盖单位公章。</w:t>
      </w:r>
    </w:p>
    <w:p>
      <w:pPr>
        <w:pStyle w:val="null3"/>
      </w:pPr>
      <w:r>
        <w:rPr>
          <w:rFonts w:ascii="仿宋_GB2312" w:hAnsi="仿宋_GB2312" w:cs="仿宋_GB2312" w:eastAsia="仿宋_GB2312"/>
        </w:rPr>
        <w:t>4、产品授权书：投标产品属于进口产品，须提供针对本项目投标产品的完整的授权链证明材料。</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南环路5号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陕西省西安市雁塔区西安曲江新区雁翔路3269号旺座曲江B座2705室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徐言伟 张维昕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029-89866584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标准收取，最低不低于7000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乾县中医医院</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乾县中医医院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保证项目必须符合相应质量检验评定标准的规定。验收依据：合同文本、合同附件、采购文件、相响应文件以及国内相应的标准、规范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医院现有X射线血管造影系统（东芝Infinix-i INFX-8000C）设备陈旧故障频出，且球管经过多次维修，本次球管损坏已经无法维修，虽然设备老旧，但DSA新设备费用高昂，经医院研究决定为现有DSA设备采购原装进口球管1套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X射线血管造影系统球管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标的名称：X射线血管造影系统球管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ind w:left="375"/>
              <w:jc w:val="left"/>
            </w:pPr>
            <w:r>
              <w:rPr>
                <w:rFonts w:ascii="仿宋_GB2312" w:hAnsi="仿宋_GB2312" w:cs="仿宋_GB2312" w:eastAsia="仿宋_GB2312"/>
                <w:sz w:val="21"/>
                <w:color w:val="000000"/>
              </w:rPr>
              <w:t>1.招标货物一览表</w:t>
            </w:r>
          </w:p>
          <w:tbl>
            <w:tblPr>
              <w:tblInd w:type="dxa" w:w="135"/>
              <w:tblBorders>
                <w:top w:val="none" w:color="000000" w:sz="4"/>
                <w:left w:val="none" w:color="000000" w:sz="4"/>
                <w:bottom w:val="none" w:color="000000" w:sz="4"/>
                <w:right w:val="none" w:color="000000" w:sz="4"/>
                <w:insideH w:val="none"/>
                <w:insideV w:val="none"/>
              </w:tblBorders>
            </w:tblPr>
            <w:tblGrid>
              <w:gridCol w:w="2006"/>
              <w:gridCol w:w="627"/>
              <w:gridCol w:w="619"/>
              <w:gridCol w:w="568"/>
            </w:tblGrid>
            <w:tr>
              <w:tc>
                <w:tcPr>
                  <w:tcW w:type="dxa" w:w="20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名称</w:t>
                  </w:r>
                </w:p>
              </w:tc>
              <w:tc>
                <w:tcPr>
                  <w:tcW w:type="dxa" w:w="6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数量</w:t>
                  </w:r>
                </w:p>
              </w:tc>
              <w:tc>
                <w:tcPr>
                  <w:tcW w:type="dxa" w:w="6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单位</w:t>
                  </w:r>
                </w:p>
              </w:tc>
              <w:tc>
                <w:tcPr>
                  <w:tcW w:type="dxa" w:w="5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备注</w:t>
                  </w:r>
                </w:p>
              </w:tc>
            </w:tr>
            <w:tr>
              <w:tc>
                <w:tcPr>
                  <w:tcW w:type="dxa" w:w="20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X射线血管造影系统球管</w:t>
                  </w:r>
                </w:p>
              </w:tc>
              <w:tc>
                <w:tcPr>
                  <w:tcW w:type="dxa" w:w="6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6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套</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配件</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54"/>
              <w:jc w:val="left"/>
            </w:pPr>
            <w:r>
              <w:rPr>
                <w:rFonts w:ascii="仿宋_GB2312" w:hAnsi="仿宋_GB2312" w:cs="仿宋_GB2312" w:eastAsia="仿宋_GB2312"/>
                <w:sz w:val="24"/>
                <w:b/>
                <w:color w:val="000000"/>
              </w:rPr>
              <w:t>2.技术指标</w:t>
            </w:r>
          </w:p>
          <w:p>
            <w:pPr>
              <w:pStyle w:val="null3"/>
              <w:ind w:firstLine="512"/>
              <w:jc w:val="both"/>
            </w:pPr>
            <w:r>
              <w:rPr>
                <w:rFonts w:ascii="仿宋_GB2312" w:hAnsi="仿宋_GB2312" w:cs="仿宋_GB2312" w:eastAsia="仿宋_GB2312"/>
                <w:sz w:val="24"/>
                <w:color w:val="000000"/>
              </w:rPr>
              <w:t>2.1适用机型</w:t>
            </w:r>
            <w:r>
              <w:rPr>
                <w:rFonts w:ascii="仿宋_GB2312" w:hAnsi="仿宋_GB2312" w:cs="仿宋_GB2312" w:eastAsia="仿宋_GB2312"/>
                <w:sz w:val="24"/>
                <w:color w:val="000000"/>
              </w:rPr>
              <w:t>Infinix</w:t>
            </w:r>
            <w:r>
              <w:rPr>
                <w:rFonts w:ascii="仿宋_GB2312" w:hAnsi="仿宋_GB2312" w:cs="仿宋_GB2312" w:eastAsia="仿宋_GB2312"/>
                <w:sz w:val="24"/>
                <w:color w:val="000000"/>
              </w:rPr>
              <w:t>-</w:t>
            </w:r>
            <w:r>
              <w:rPr>
                <w:rFonts w:ascii="仿宋_GB2312" w:hAnsi="仿宋_GB2312" w:cs="仿宋_GB2312" w:eastAsia="仿宋_GB2312"/>
                <w:sz w:val="24"/>
                <w:color w:val="000000"/>
              </w:rPr>
              <w:t>ilNFX</w:t>
            </w:r>
            <w:r>
              <w:rPr>
                <w:rFonts w:ascii="仿宋_GB2312" w:hAnsi="仿宋_GB2312" w:cs="仿宋_GB2312" w:eastAsia="仿宋_GB2312"/>
                <w:sz w:val="24"/>
                <w:color w:val="000000"/>
              </w:rPr>
              <w:t xml:space="preserve">-8000C,      </w:t>
            </w:r>
          </w:p>
          <w:p>
            <w:pPr>
              <w:pStyle w:val="null3"/>
              <w:ind w:firstLine="476"/>
              <w:jc w:val="both"/>
            </w:pPr>
            <w:r>
              <w:rPr>
                <w:rFonts w:ascii="仿宋_GB2312" w:hAnsi="仿宋_GB2312" w:cs="仿宋_GB2312" w:eastAsia="仿宋_GB2312"/>
                <w:sz w:val="24"/>
                <w:color w:val="000000"/>
              </w:rPr>
              <w:t>2.2焦点尺寸：0.3/0.6/1.0</w:t>
            </w:r>
            <w:r>
              <w:rPr>
                <w:rFonts w:ascii="仿宋_GB2312" w:hAnsi="仿宋_GB2312" w:cs="仿宋_GB2312" w:eastAsia="仿宋_GB2312"/>
                <w:sz w:val="24"/>
                <w:color w:val="000000"/>
              </w:rPr>
              <w:t>MM</w:t>
            </w:r>
          </w:p>
          <w:p>
            <w:pPr>
              <w:pStyle w:val="null3"/>
              <w:ind w:firstLine="520"/>
              <w:jc w:val="both"/>
            </w:pPr>
            <w:r>
              <w:rPr>
                <w:rFonts w:ascii="仿宋_GB2312" w:hAnsi="仿宋_GB2312" w:cs="仿宋_GB2312" w:eastAsia="仿宋_GB2312"/>
                <w:sz w:val="24"/>
                <w:color w:val="000000"/>
              </w:rPr>
              <w:t>2.3最大功率：17/48/100</w:t>
            </w:r>
            <w:r>
              <w:rPr>
                <w:rFonts w:ascii="仿宋_GB2312" w:hAnsi="仿宋_GB2312" w:cs="仿宋_GB2312" w:eastAsia="仿宋_GB2312"/>
                <w:sz w:val="24"/>
                <w:color w:val="000000"/>
              </w:rPr>
              <w:t>KW</w:t>
            </w:r>
          </w:p>
          <w:p>
            <w:pPr>
              <w:pStyle w:val="null3"/>
              <w:ind w:firstLine="488"/>
              <w:jc w:val="both"/>
            </w:pPr>
            <w:r>
              <w:rPr>
                <w:rFonts w:ascii="仿宋_GB2312" w:hAnsi="仿宋_GB2312" w:cs="仿宋_GB2312" w:eastAsia="仿宋_GB2312"/>
                <w:sz w:val="24"/>
                <w:color w:val="000000"/>
              </w:rPr>
              <w:t>2.4热容量：1.8</w:t>
            </w:r>
            <w:r>
              <w:rPr>
                <w:rFonts w:ascii="仿宋_GB2312" w:hAnsi="仿宋_GB2312" w:cs="仿宋_GB2312" w:eastAsia="仿宋_GB2312"/>
                <w:sz w:val="24"/>
                <w:color w:val="000000"/>
              </w:rPr>
              <w:t>MHU</w:t>
            </w:r>
          </w:p>
          <w:p>
            <w:pPr>
              <w:pStyle w:val="null3"/>
              <w:ind w:firstLine="500"/>
              <w:jc w:val="both"/>
            </w:pPr>
            <w:r>
              <w:rPr>
                <w:rFonts w:ascii="仿宋_GB2312" w:hAnsi="仿宋_GB2312" w:cs="仿宋_GB2312" w:eastAsia="仿宋_GB2312"/>
                <w:sz w:val="24"/>
                <w:color w:val="000000"/>
              </w:rPr>
              <w:t>2.5靶向角：11°</w:t>
            </w:r>
          </w:p>
          <w:p>
            <w:pPr>
              <w:pStyle w:val="null3"/>
              <w:ind w:firstLine="500"/>
              <w:jc w:val="both"/>
            </w:pPr>
            <w:r>
              <w:rPr>
                <w:rFonts w:ascii="仿宋_GB2312" w:hAnsi="仿宋_GB2312" w:cs="仿宋_GB2312" w:eastAsia="仿宋_GB2312"/>
                <w:sz w:val="24"/>
                <w:color w:val="000000"/>
              </w:rPr>
              <w:t>2.6散热率：4.0</w:t>
            </w:r>
            <w:r>
              <w:rPr>
                <w:rFonts w:ascii="仿宋_GB2312" w:hAnsi="仿宋_GB2312" w:cs="仿宋_GB2312" w:eastAsia="仿宋_GB2312"/>
                <w:sz w:val="24"/>
                <w:color w:val="000000"/>
              </w:rPr>
              <w:t>KW</w:t>
            </w:r>
            <w:r>
              <w:rPr>
                <w:rFonts w:ascii="仿宋_GB2312" w:hAnsi="仿宋_GB2312" w:cs="仿宋_GB2312" w:eastAsia="仿宋_GB2312"/>
                <w:sz w:val="24"/>
                <w:color w:val="000000"/>
              </w:rPr>
              <w:t>(5700</w:t>
            </w:r>
            <w:r>
              <w:rPr>
                <w:rFonts w:ascii="仿宋_GB2312" w:hAnsi="仿宋_GB2312" w:cs="仿宋_GB2312" w:eastAsia="仿宋_GB2312"/>
                <w:sz w:val="24"/>
                <w:color w:val="000000"/>
              </w:rPr>
              <w:t>HU</w:t>
            </w:r>
            <w:r>
              <w:rPr>
                <w:rFonts w:ascii="仿宋_GB2312" w:hAnsi="仿宋_GB2312" w:cs="仿宋_GB2312" w:eastAsia="仿宋_GB2312"/>
                <w:sz w:val="24"/>
                <w:color w:val="000000"/>
              </w:rPr>
              <w:t>/S)</w:t>
            </w:r>
          </w:p>
          <w:p>
            <w:pPr>
              <w:pStyle w:val="null3"/>
              <w:ind w:firstLine="500"/>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质保期</w:t>
            </w:r>
            <w:r>
              <w:rPr>
                <w:rFonts w:ascii="仿宋_GB2312" w:hAnsi="仿宋_GB2312" w:cs="仿宋_GB2312" w:eastAsia="仿宋_GB2312"/>
                <w:sz w:val="24"/>
                <w:color w:val="000000"/>
              </w:rPr>
              <w:t>：球管保修</w:t>
            </w:r>
            <w:r>
              <w:rPr>
                <w:rFonts w:ascii="仿宋_GB2312" w:hAnsi="仿宋_GB2312" w:cs="仿宋_GB2312" w:eastAsia="仿宋_GB2312"/>
                <w:sz w:val="24"/>
                <w:color w:val="000000"/>
              </w:rPr>
              <w:t>12</w:t>
            </w:r>
            <w:r>
              <w:rPr>
                <w:rFonts w:ascii="仿宋_GB2312" w:hAnsi="仿宋_GB2312" w:cs="仿宋_GB2312" w:eastAsia="仿宋_GB2312"/>
                <w:sz w:val="24"/>
                <w:color w:val="000000"/>
              </w:rPr>
              <w:t>个月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设备到货安装调试、验收合格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设备使用满一年后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组织专家进行验收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球管保修12个月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由甲乙双方在合同签订时进行约定</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成交供应商领取成交通知书前，应免费为采购人提供纸质版响应文件一正一副。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1、供应商合法注册的法人或其他组织的营业执照等主体资格证明文件，为自然人的提供自然人身份证明； 2、供应商缴纳社保的证明材料（供应商提供投标截止时间前六个月内任意1个月的社保缴纳证明，其他组织形式投标人（如个体工商户、合作社、自然人等）可提供法人或负责人个人投标截止时间前六个月内任意1个月的社保资金缴纳证明材料）； 3、供应商纳税的缴费证明材料（投标人提供投标截止时间前六个月内任意1个月的纳税缴纳证明，免税企业提供税务机关出具相关的有效证明材料）； 4、具备履行合同所必需的设备和专业技术能力的证明材料；（供应商自行出具承诺书即可）； 5、参加政府采购活动前三年内在经营活动中没有重大违法记录的书面声明；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供应商提供2024年度的财务审计报告或提供投标截止时间前6个月内基本开户银行出具的资信证明，或信用担保机构出具的投标担保函。（以上三种形式的资料提供任何一种即可）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并与营业执照上信息一致。法定代表人授权代表参加投标的，须出具法定代表人授权书和被授权人身份证及被授权人本单位近三个月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医疗器械经营许可证或经营备案凭证</w:t>
            </w:r>
          </w:p>
        </w:tc>
        <w:tc>
          <w:tcPr>
            <w:tcW w:type="dxa" w:w="3322"/>
          </w:tcPr>
          <w:p>
            <w:pPr>
              <w:pStyle w:val="null3"/>
            </w:pPr>
            <w:r>
              <w:rPr>
                <w:rFonts w:ascii="仿宋_GB2312" w:hAnsi="仿宋_GB2312" w:cs="仿宋_GB2312" w:eastAsia="仿宋_GB2312"/>
              </w:rPr>
              <w:t>供应商须具备医疗器械经营许可证或经营备案凭证（投标产品须在其经营范围内）</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供应商须提供医疗器械注册证或医疗器械备案凭证。如球管没有单独注册证可提供DSA系统注册证，如DSA设备停产注册证过期请提供相关说明并加盖单位公章。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产品授权书</w:t>
            </w:r>
          </w:p>
        </w:tc>
        <w:tc>
          <w:tcPr>
            <w:tcW w:type="dxa" w:w="3322"/>
          </w:tcPr>
          <w:p>
            <w:pPr>
              <w:pStyle w:val="null3"/>
            </w:pPr>
            <w:r>
              <w:rPr>
                <w:rFonts w:ascii="仿宋_GB2312" w:hAnsi="仿宋_GB2312" w:cs="仿宋_GB2312" w:eastAsia="仿宋_GB2312"/>
              </w:rPr>
              <w:t>投标产品属于进口产品，须提供针对本项目投标产品的完整的授权链证明材料。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符合招标文件签署盖章要求。要求加盖投标人公章的不能用单位其他印章代替；要求签字的不能直接打印或用盖章或印刷体签名代替</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投标方案.docx 产品技术参数表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投标报价唯一，未超出采购预算或招标文件规定的最高限价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自投标文件递交截止之日60日历天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详见附件：政府采购货物合同范本.docx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