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版本号：QXZC-GK2025A01320251226003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乾县西街小学教学设备采购项目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QXZC-GK2025A013</w:t>
      </w:r>
      <w:r>
        <w:br/>
      </w:r>
      <w:r>
        <w:br/>
      </w:r>
      <w:r>
        <w:br/>
      </w:r>
    </w:p>
    <w:p>
      <w:pPr>
        <w:pStyle w:val="null3"/>
        <w:jc w:val="center"/>
        <w:outlineLvl w:val="2"/>
      </w:pPr>
      <w:r>
        <w:rPr>
          <w:rFonts w:ascii="仿宋_GB2312" w:hAnsi="仿宋_GB2312" w:cs="仿宋_GB2312" w:eastAsia="仿宋_GB2312"/>
          <w:sz w:val="28"/>
          <w:b/>
        </w:rPr>
        <w:t>乾县城关西街小学</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乾县城关西街小学</w:t>
      </w:r>
      <w:r>
        <w:rPr>
          <w:rFonts w:ascii="仿宋_GB2312" w:hAnsi="仿宋_GB2312" w:cs="仿宋_GB2312" w:eastAsia="仿宋_GB2312"/>
        </w:rPr>
        <w:t>委托，拟对</w:t>
      </w:r>
      <w:r>
        <w:rPr>
          <w:rFonts w:ascii="仿宋_GB2312" w:hAnsi="仿宋_GB2312" w:cs="仿宋_GB2312" w:eastAsia="仿宋_GB2312"/>
        </w:rPr>
        <w:t>乾县西街小学教学设备采购项目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QXZC-GK2025A013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乾县西街小学教学设备采购项目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智慧黑板17套、视频展台17套、智能笔17个、复合打印机1台、拆除原有黑板17套、安装辅材17套。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4、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p>
      <w:pPr>
        <w:pStyle w:val="null3"/>
      </w:pPr>
      <w:r>
        <w:rPr>
          <w:rFonts w:ascii="仿宋_GB2312" w:hAnsi="仿宋_GB2312" w:cs="仿宋_GB2312" w:eastAsia="仿宋_GB2312"/>
        </w:rPr>
        <w:t>7、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8、非联合体投标：本项目要求独立法人，不接受联合体投标。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乾县城关西街小学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乾县城关镇新泰巷1号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乾县城关西街小学经办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13636744567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许先生/杨女士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采购包1：615,400.00元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速印机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速印机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乾县城关西街小学</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乾县城关西街小学</w:t>
      </w:r>
      <w:r>
        <w:rPr>
          <w:rFonts w:ascii="仿宋_GB2312" w:hAnsi="仿宋_GB2312" w:cs="仿宋_GB2312" w:eastAsia="仿宋_GB2312"/>
        </w:rPr>
        <w:t>负责解释。除上述招标文件内容，其他内容由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乾县城关西街小学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联系人：许先生/杨女士</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地址：乾县东新街15号</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智慧黑板17套、视频展台17套、智能笔17个、复合打印机1台、拆除原有黑板17套、安装辅材17套。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615,400.00</w:t>
      </w:r>
    </w:p>
    <w:p>
      <w:pPr>
        <w:pStyle w:val="null3"/>
      </w:pPr>
      <w:r>
        <w:rPr>
          <w:rFonts w:ascii="仿宋_GB2312" w:hAnsi="仿宋_GB2312" w:cs="仿宋_GB2312" w:eastAsia="仿宋_GB2312"/>
        </w:rPr>
        <w:t>采购包最高限价（元）: 615,400.00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智慧黑板、视频展台、智能笔、打印机等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615,400.00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标的名称：智慧黑板、视频展台、智能笔、打印机等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295"/>
              <w:gridCol w:w="1491"/>
              <w:gridCol w:w="305"/>
              <w:gridCol w:w="274"/>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技术要求</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智慧黑板</w:t>
                  </w:r>
                  <w:r>
                    <w:br/>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一、硬件参数：</w:t>
                  </w:r>
                </w:p>
                <w:p>
                  <w:pPr>
                    <w:pStyle w:val="null3"/>
                    <w:ind w:left="420"/>
                    <w:jc w:val="both"/>
                  </w:pPr>
                  <w:r>
                    <w:rPr>
                      <w:rFonts w:ascii="仿宋_GB2312" w:hAnsi="仿宋_GB2312" w:cs="仿宋_GB2312" w:eastAsia="仿宋_GB2312"/>
                      <w:sz w:val="20"/>
                    </w:rPr>
                    <w:t>1.</w:t>
                  </w:r>
                  <w:r>
                    <w:rPr>
                      <w:rFonts w:ascii="仿宋_GB2312" w:hAnsi="仿宋_GB2312" w:cs="仿宋_GB2312" w:eastAsia="仿宋_GB2312"/>
                      <w:sz w:val="20"/>
                    </w:rPr>
                    <w:t>显示尺寸：</w:t>
                  </w:r>
                  <w:r>
                    <w:rPr>
                      <w:rFonts w:ascii="仿宋_GB2312" w:hAnsi="仿宋_GB2312" w:cs="仿宋_GB2312" w:eastAsia="仿宋_GB2312"/>
                      <w:sz w:val="20"/>
                    </w:rPr>
                    <w:t>≥86英寸。显示分辨率：3840(H)×2160(V)；显示比例：16:9。</w:t>
                  </w:r>
                </w:p>
                <w:p>
                  <w:pPr>
                    <w:pStyle w:val="null3"/>
                    <w:ind w:left="420"/>
                    <w:jc w:val="left"/>
                  </w:pPr>
                  <w:r>
                    <w:rPr>
                      <w:rFonts w:ascii="仿宋_GB2312" w:hAnsi="仿宋_GB2312" w:cs="仿宋_GB2312" w:eastAsia="仿宋_GB2312"/>
                      <w:sz w:val="20"/>
                    </w:rPr>
                    <w:t>2.</w:t>
                  </w:r>
                  <w:r>
                    <w:rPr>
                      <w:rFonts w:ascii="仿宋_GB2312" w:hAnsi="仿宋_GB2312" w:cs="仿宋_GB2312" w:eastAsia="仿宋_GB2312"/>
                      <w:sz w:val="20"/>
                    </w:rPr>
                    <w:t>内置扬声器，前朝向发声避免干扰，总功率</w:t>
                  </w:r>
                  <w:r>
                    <w:rPr>
                      <w:rFonts w:ascii="仿宋_GB2312" w:hAnsi="仿宋_GB2312" w:cs="仿宋_GB2312" w:eastAsia="仿宋_GB2312"/>
                      <w:sz w:val="20"/>
                    </w:rPr>
                    <w:t>≥30W。</w:t>
                  </w:r>
                </w:p>
                <w:p>
                  <w:pPr>
                    <w:pStyle w:val="null3"/>
                    <w:ind w:left="420"/>
                    <w:jc w:val="both"/>
                  </w:pPr>
                  <w:r>
                    <w:rPr>
                      <w:rFonts w:ascii="仿宋_GB2312" w:hAnsi="仿宋_GB2312" w:cs="仿宋_GB2312" w:eastAsia="仿宋_GB2312"/>
                      <w:sz w:val="20"/>
                    </w:rPr>
                    <w:t>3.</w:t>
                  </w:r>
                  <w:r>
                    <w:rPr>
                      <w:rFonts w:ascii="仿宋_GB2312" w:hAnsi="仿宋_GB2312" w:cs="仿宋_GB2312" w:eastAsia="仿宋_GB2312"/>
                      <w:sz w:val="20"/>
                    </w:rPr>
                    <w:t>亮度：</w:t>
                  </w:r>
                  <w:r>
                    <w:rPr>
                      <w:rFonts w:ascii="仿宋_GB2312" w:hAnsi="仿宋_GB2312" w:cs="仿宋_GB2312" w:eastAsia="仿宋_GB2312"/>
                      <w:sz w:val="20"/>
                    </w:rPr>
                    <w:t>≥350 cd/㎡；对比度：≥1000：1；可视角度：≥178°。</w:t>
                  </w:r>
                </w:p>
                <w:p>
                  <w:pPr>
                    <w:pStyle w:val="null3"/>
                    <w:ind w:left="420"/>
                    <w:jc w:val="both"/>
                  </w:pPr>
                  <w:r>
                    <w:rPr>
                      <w:rFonts w:ascii="仿宋_GB2312" w:hAnsi="仿宋_GB2312" w:cs="仿宋_GB2312" w:eastAsia="仿宋_GB2312"/>
                      <w:sz w:val="20"/>
                    </w:rPr>
                    <w:t>4</w:t>
                  </w:r>
                  <w:r>
                    <w:rPr>
                      <w:rFonts w:ascii="仿宋_GB2312" w:hAnsi="仿宋_GB2312" w:cs="仿宋_GB2312" w:eastAsia="仿宋_GB2312"/>
                      <w:sz w:val="20"/>
                    </w:rPr>
                    <w:t>显示颜色：</w:t>
                  </w:r>
                  <w:r>
                    <w:rPr>
                      <w:rFonts w:ascii="仿宋_GB2312" w:hAnsi="仿宋_GB2312" w:cs="仿宋_GB2312" w:eastAsia="仿宋_GB2312"/>
                      <w:sz w:val="20"/>
                    </w:rPr>
                    <w:t>10bit，1.07B Colors；透光率＞95%；色彩覆盖率：≥130%。</w:t>
                  </w:r>
                </w:p>
                <w:p>
                  <w:pPr>
                    <w:pStyle w:val="null3"/>
                    <w:ind w:left="420"/>
                    <w:jc w:val="both"/>
                  </w:pPr>
                  <w:r>
                    <w:rPr>
                      <w:rFonts w:ascii="仿宋_GB2312" w:hAnsi="仿宋_GB2312" w:cs="仿宋_GB2312" w:eastAsia="仿宋_GB2312"/>
                      <w:sz w:val="20"/>
                    </w:rPr>
                    <w:t>5.</w:t>
                  </w:r>
                  <w:r>
                    <w:rPr>
                      <w:rFonts w:ascii="仿宋_GB2312" w:hAnsi="仿宋_GB2312" w:cs="仿宋_GB2312" w:eastAsia="仿宋_GB2312"/>
                      <w:sz w:val="20"/>
                    </w:rPr>
                    <w:t>屏幕表面采用</w:t>
                  </w:r>
                  <w:r>
                    <w:rPr>
                      <w:rFonts w:ascii="仿宋_GB2312" w:hAnsi="仿宋_GB2312" w:cs="仿宋_GB2312" w:eastAsia="仿宋_GB2312"/>
                      <w:sz w:val="20"/>
                    </w:rPr>
                    <w:t>≤3.2mm全钢化防眩光玻璃；表面硬度≥9H，使用≥1.5Kg钢珠≥2.0米高度进行自由落体撞击试验，防护钢化玻璃无损伤，功能无异常。</w:t>
                  </w:r>
                </w:p>
                <w:p>
                  <w:pPr>
                    <w:pStyle w:val="null3"/>
                    <w:ind w:left="420"/>
                    <w:jc w:val="both"/>
                  </w:pPr>
                  <w:r>
                    <w:rPr>
                      <w:rFonts w:ascii="仿宋_GB2312" w:hAnsi="仿宋_GB2312" w:cs="仿宋_GB2312" w:eastAsia="仿宋_GB2312"/>
                      <w:sz w:val="20"/>
                    </w:rPr>
                    <w:t>6.</w:t>
                  </w:r>
                  <w:r>
                    <w:rPr>
                      <w:rFonts w:ascii="仿宋_GB2312" w:hAnsi="仿宋_GB2312" w:cs="仿宋_GB2312" w:eastAsia="仿宋_GB2312"/>
                      <w:sz w:val="20"/>
                    </w:rPr>
                    <w:t>触摸分辨率：</w:t>
                  </w:r>
                  <w:r>
                    <w:rPr>
                      <w:rFonts w:ascii="仿宋_GB2312" w:hAnsi="仿宋_GB2312" w:cs="仿宋_GB2312" w:eastAsia="仿宋_GB2312"/>
                      <w:sz w:val="20"/>
                    </w:rPr>
                    <w:t>≥</w:t>
                  </w:r>
                  <w:r>
                    <w:rPr>
                      <w:rFonts w:ascii="仿宋_GB2312" w:hAnsi="仿宋_GB2312" w:cs="仿宋_GB2312" w:eastAsia="仿宋_GB2312"/>
                      <w:sz w:val="20"/>
                    </w:rPr>
                    <w:t>32768*32768；触摸精准度：≤1mm；光标速度：≥300点/秒；定位精度：≤1mm。</w:t>
                  </w:r>
                </w:p>
                <w:p>
                  <w:pPr>
                    <w:pStyle w:val="null3"/>
                    <w:ind w:left="420"/>
                    <w:jc w:val="both"/>
                  </w:pPr>
                  <w:r>
                    <w:rPr>
                      <w:rFonts w:ascii="仿宋_GB2312" w:hAnsi="仿宋_GB2312" w:cs="仿宋_GB2312" w:eastAsia="仿宋_GB2312"/>
                      <w:sz w:val="20"/>
                    </w:rPr>
                    <w:t>7.</w:t>
                  </w:r>
                  <w:r>
                    <w:rPr>
                      <w:rFonts w:ascii="仿宋_GB2312" w:hAnsi="仿宋_GB2312" w:cs="仿宋_GB2312" w:eastAsia="仿宋_GB2312"/>
                      <w:sz w:val="20"/>
                    </w:rPr>
                    <w:t>采用电容多点触摸感应技术，在</w:t>
                  </w:r>
                  <w:r>
                    <w:rPr>
                      <w:rFonts w:ascii="仿宋_GB2312" w:hAnsi="仿宋_GB2312" w:cs="仿宋_GB2312" w:eastAsia="仿宋_GB2312"/>
                      <w:sz w:val="20"/>
                    </w:rPr>
                    <w:t>Windows与Android系统均可支持≥20点触摸。</w:t>
                  </w:r>
                </w:p>
                <w:p>
                  <w:pPr>
                    <w:pStyle w:val="null3"/>
                    <w:ind w:left="420"/>
                    <w:jc w:val="both"/>
                  </w:pPr>
                  <w:r>
                    <w:rPr>
                      <w:rFonts w:ascii="仿宋_GB2312" w:hAnsi="仿宋_GB2312" w:cs="仿宋_GB2312" w:eastAsia="仿宋_GB2312"/>
                      <w:sz w:val="20"/>
                    </w:rPr>
                    <w:t>8.</w:t>
                  </w:r>
                  <w:r>
                    <w:rPr>
                      <w:rFonts w:ascii="仿宋_GB2312" w:hAnsi="仿宋_GB2312" w:cs="仿宋_GB2312" w:eastAsia="仿宋_GB2312"/>
                      <w:sz w:val="20"/>
                    </w:rPr>
                    <w:t>安卓系统配置：安卓系统</w:t>
                  </w:r>
                  <w:r>
                    <w:rPr>
                      <w:rFonts w:ascii="仿宋_GB2312" w:hAnsi="仿宋_GB2312" w:cs="仿宋_GB2312" w:eastAsia="仿宋_GB2312"/>
                      <w:sz w:val="20"/>
                    </w:rPr>
                    <w:t>≥13.0，内存≥2G，存储内置≥32G。</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视频展台</w:t>
                  </w:r>
                  <w:r>
                    <w:br/>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1.采用≥1600万像素摄像头；</w:t>
                  </w:r>
                  <w:r>
                    <w:br/>
                  </w:r>
                  <w:r>
                    <w:rPr>
                      <w:rFonts w:ascii="仿宋_GB2312" w:hAnsi="仿宋_GB2312" w:cs="仿宋_GB2312" w:eastAsia="仿宋_GB2312"/>
                      <w:sz w:val="20"/>
                      <w:color w:val="000000"/>
                    </w:rPr>
                    <w:t>2二维码扫码：支持将书本上的二维码进行扫描识别，并进入系统浏览器获取二维码的链接内容，帮助老师快速获取电子教学资源；</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智能笔</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1.笔身造型采用圆润一体化笔型设计，表面采用手感漆工艺便于握持；</w:t>
                  </w:r>
                  <w:r>
                    <w:br/>
                  </w:r>
                  <w:r>
                    <w:rPr>
                      <w:rFonts w:ascii="仿宋_GB2312" w:hAnsi="仿宋_GB2312" w:cs="仿宋_GB2312" w:eastAsia="仿宋_GB2312"/>
                      <w:sz w:val="18"/>
                      <w:color w:val="000000"/>
                    </w:rPr>
                    <w:t>2.笔身配置具备上下翻页，智能语音，远程聚光灯/放大，书写颜色切换，兼顾触摸书写以及远程操控的握持姿态；</w:t>
                  </w:r>
                  <w:r>
                    <w:br/>
                  </w:r>
                  <w:r>
                    <w:rPr>
                      <w:rFonts w:ascii="仿宋_GB2312" w:hAnsi="仿宋_GB2312" w:cs="仿宋_GB2312" w:eastAsia="仿宋_GB2312"/>
                      <w:sz w:val="18"/>
                      <w:color w:val="000000"/>
                    </w:rPr>
                    <w:t>2.锥型笔尖设计，直径≤3mm；同时支持电容，红外触控设备书写，书写最小精度2mm；</w:t>
                  </w:r>
                  <w:r>
                    <w:br/>
                  </w:r>
                  <w:r>
                    <w:rPr>
                      <w:rFonts w:ascii="仿宋_GB2312" w:hAnsi="仿宋_GB2312" w:cs="仿宋_GB2312" w:eastAsia="仿宋_GB2312"/>
                      <w:sz w:val="18"/>
                      <w:color w:val="000000"/>
                    </w:rPr>
                    <w:t>3.连续书写距离不小于7km；</w:t>
                  </w:r>
                  <w:r>
                    <w:br/>
                  </w:r>
                  <w:r>
                    <w:rPr>
                      <w:rFonts w:ascii="仿宋_GB2312" w:hAnsi="仿宋_GB2312" w:cs="仿宋_GB2312" w:eastAsia="仿宋_GB2312"/>
                      <w:sz w:val="18"/>
                      <w:color w:val="000000"/>
                    </w:rPr>
                    <w:t>5.短按上下翻页按键，可实现白板软件/ppt/pdf等文档上下翻页；长按上下翻页按键3s，可实现ppt播放/退出；</w:t>
                  </w:r>
                  <w:r>
                    <w:br/>
                  </w:r>
                  <w:r>
                    <w:rPr>
                      <w:rFonts w:ascii="仿宋_GB2312" w:hAnsi="仿宋_GB2312" w:cs="仿宋_GB2312" w:eastAsia="仿宋_GB2312"/>
                      <w:sz w:val="18"/>
                      <w:color w:val="000000"/>
                    </w:rPr>
                    <w:t>6.多功能按键：a.短按多功能按键，可实现播放/暂停音视频或flash；b.双击此按键，可实现空鼠/放大镜/聚光灯等功能切换，切换顺序空鼠&gt;放大镜&gt;聚光灯；c.长按此按键即可实现对应功能(空鼠/放大镜/聚光灯)；</w:t>
                  </w:r>
                  <w:r>
                    <w:br/>
                  </w:r>
                  <w:r>
                    <w:rPr>
                      <w:rFonts w:ascii="仿宋_GB2312" w:hAnsi="仿宋_GB2312" w:cs="仿宋_GB2312" w:eastAsia="仿宋_GB2312"/>
                      <w:sz w:val="18"/>
                      <w:color w:val="000000"/>
                    </w:rPr>
                    <w:t>7.语音：内置麦克风，支持按键唤醒语音识别功能，避免杂音造成误唤醒；</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安装辅材</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吊架，挂件，电源线，数据线</w:t>
                  </w:r>
                  <w:r>
                    <w:rPr>
                      <w:rFonts w:ascii="仿宋_GB2312" w:hAnsi="仿宋_GB2312" w:cs="仿宋_GB2312" w:eastAsia="仿宋_GB2312"/>
                      <w:sz w:val="18"/>
                      <w:color w:val="000000"/>
                    </w:rPr>
                    <w:t>，螺丝</w:t>
                  </w:r>
                  <w:r>
                    <w:rPr>
                      <w:rFonts w:ascii="仿宋_GB2312" w:hAnsi="仿宋_GB2312" w:cs="仿宋_GB2312" w:eastAsia="仿宋_GB2312"/>
                      <w:sz w:val="18"/>
                      <w:color w:val="000000"/>
                    </w:rPr>
                    <w:t>等</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拆除原有黑板</w:t>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拆除原有普通黑板、恢复墙面、垃圾清运、黑板集中搬运等</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管理型智能复合机打印机</w:t>
                  </w:r>
                  <w:r>
                    <w:br/>
                  </w:r>
                </w:p>
              </w:tc>
              <w:tc>
                <w:tcPr>
                  <w:tcW w:type="dxa" w:w="1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标配</w:t>
                  </w:r>
                  <w:r>
                    <w:rPr>
                      <w:rFonts w:ascii="仿宋_GB2312" w:hAnsi="仿宋_GB2312" w:cs="仿宋_GB2312" w:eastAsia="仿宋_GB2312"/>
                      <w:sz w:val="20"/>
                    </w:rPr>
                    <w:t>≥</w:t>
                  </w:r>
                  <w:r>
                    <w:rPr>
                      <w:rFonts w:ascii="仿宋_GB2312" w:hAnsi="仿宋_GB2312" w:cs="仿宋_GB2312" w:eastAsia="仿宋_GB2312"/>
                      <w:sz w:val="18"/>
                      <w:color w:val="000000"/>
                    </w:rPr>
                    <w:t>32GB :可选配 ， 加密硬盘;AES256硬件加密;安全擦除功能(安全文件擦除-临 ATA 擦除·磁盘)标配进纸选项:</w:t>
                  </w:r>
                  <w:r>
                    <w:rPr>
                      <w:rFonts w:ascii="仿宋_GB2312" w:hAnsi="仿宋_GB2312" w:cs="仿宋_GB2312" w:eastAsia="仿宋_GB2312"/>
                      <w:sz w:val="20"/>
                    </w:rPr>
                    <w:t>≥</w:t>
                  </w:r>
                  <w:r>
                    <w:rPr>
                      <w:rFonts w:ascii="仿宋_GB2312" w:hAnsi="仿宋_GB2312" w:cs="仿宋_GB2312" w:eastAsia="仿宋_GB2312"/>
                      <w:sz w:val="18"/>
                      <w:color w:val="000000"/>
                    </w:rPr>
                    <w:t>100页多用途纸盒，</w:t>
                  </w:r>
                  <w:r>
                    <w:rPr>
                      <w:rFonts w:ascii="仿宋_GB2312" w:hAnsi="仿宋_GB2312" w:cs="仿宋_GB2312" w:eastAsia="仿宋_GB2312"/>
                      <w:sz w:val="20"/>
                    </w:rPr>
                    <w:t>≥</w:t>
                  </w:r>
                  <w:r>
                    <w:rPr>
                      <w:rFonts w:ascii="仿宋_GB2312" w:hAnsi="仿宋_GB2312" w:cs="仿宋_GB2312" w:eastAsia="仿宋_GB2312"/>
                      <w:sz w:val="18"/>
                      <w:color w:val="000000"/>
                    </w:rPr>
                    <w:t>2x520页进纸盒标准输出:</w:t>
                  </w:r>
                  <w:r>
                    <w:rPr>
                      <w:rFonts w:ascii="仿宋_GB2312" w:hAnsi="仿宋_GB2312" w:cs="仿宋_GB2312" w:eastAsia="仿宋_GB2312"/>
                      <w:sz w:val="20"/>
                    </w:rPr>
                    <w:t>≥</w:t>
                  </w:r>
                  <w:r>
                    <w:rPr>
                      <w:rFonts w:ascii="仿宋_GB2312" w:hAnsi="仿宋_GB2312" w:cs="仿宋_GB2312" w:eastAsia="仿宋_GB2312"/>
                      <w:sz w:val="18"/>
                      <w:color w:val="000000"/>
                    </w:rPr>
                    <w:t>500页面朝下出低盒司选进纸选项:可选</w:t>
                  </w:r>
                  <w:r>
                    <w:rPr>
                      <w:rFonts w:ascii="仿宋_GB2312" w:hAnsi="仿宋_GB2312" w:cs="仿宋_GB2312" w:eastAsia="仿宋_GB2312"/>
                      <w:sz w:val="20"/>
                    </w:rPr>
                    <w:t>≥</w:t>
                  </w:r>
                  <w:r>
                    <w:rPr>
                      <w:rFonts w:ascii="仿宋_GB2312" w:hAnsi="仿宋_GB2312" w:cs="仿宋_GB2312" w:eastAsia="仿宋_GB2312"/>
                      <w:sz w:val="18"/>
                      <w:color w:val="000000"/>
                    </w:rPr>
                    <w:t>2x520页进纸盒/支架 ADF:标准，</w:t>
                  </w:r>
                  <w:r>
                    <w:rPr>
                      <w:rFonts w:ascii="仿宋_GB2312" w:hAnsi="仿宋_GB2312" w:cs="仿宋_GB2312" w:eastAsia="仿宋_GB2312"/>
                      <w:sz w:val="20"/>
                    </w:rPr>
                    <w:t>≥</w:t>
                  </w:r>
                  <w:r>
                    <w:rPr>
                      <w:rFonts w:ascii="仿宋_GB2312" w:hAnsi="仿宋_GB2312" w:cs="仿宋_GB2312" w:eastAsia="仿宋_GB2312"/>
                      <w:sz w:val="18"/>
                      <w:color w:val="000000"/>
                    </w:rPr>
                    <w:t>100页标配，:高达 550页(可选配内置装订器)</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乾县西街小学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按照国家相关法律和规定，一年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投标人应提供的相应资质证明材料.docx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tc>
        <w:tc>
          <w:tcPr>
            <w:tcW w:type="dxa" w:w="1661"/>
          </w:tcPr>
          <w:p>
            <w:pPr>
              <w:pStyle w:val="null3"/>
            </w:pPr>
            <w:r>
              <w:rPr>
                <w:rFonts w:ascii="仿宋_GB2312" w:hAnsi="仿宋_GB2312" w:cs="仿宋_GB2312" w:eastAsia="仿宋_GB2312"/>
              </w:rPr>
              <w:t>投标人应提供的相应资质证明材料.docx 法定代表人证明书与授权委托书..docx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本项目要求独立法人，不接受联合体投标。</w:t>
            </w:r>
          </w:p>
        </w:tc>
        <w:tc>
          <w:tcPr>
            <w:tcW w:type="dxa" w:w="1661"/>
          </w:tcPr>
          <w:p>
            <w:pPr>
              <w:pStyle w:val="null3"/>
            </w:pPr>
            <w:r>
              <w:rPr>
                <w:rFonts w:ascii="仿宋_GB2312" w:hAnsi="仿宋_GB2312" w:cs="仿宋_GB2312" w:eastAsia="仿宋_GB2312"/>
              </w:rPr>
              <w:t>投标人应提供的相应资质证明材料.docx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除明确允许供应商可以自行编写的外，招标响应文件应按照招标文件给定的格式编制。</w:t>
            </w:r>
          </w:p>
        </w:tc>
        <w:tc>
          <w:tcPr>
            <w:tcW w:type="dxa" w:w="1661"/>
          </w:tcPr>
          <w:p>
            <w:pPr>
              <w:pStyle w:val="null3"/>
            </w:pPr>
            <w:r>
              <w:rPr>
                <w:rFonts w:ascii="仿宋_GB2312" w:hAnsi="仿宋_GB2312" w:cs="仿宋_GB2312" w:eastAsia="仿宋_GB2312"/>
              </w:rPr>
              <w:t>开标一览表 产品技术参数表 投标人应提供的相应资质证明材料.docx 投标函 中小企业声明函 残疾人福利性单位声明函 商务应答表 标的清单 投标文件封面 实施方案.docx 法定代表人证明书与授权委托书..docx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供应商名称应与获取招标文件的单位名称一致。</w:t>
            </w:r>
          </w:p>
        </w:tc>
        <w:tc>
          <w:tcPr>
            <w:tcW w:type="dxa" w:w="1661"/>
          </w:tcPr>
          <w:p>
            <w:pPr>
              <w:pStyle w:val="null3"/>
            </w:pPr>
            <w:r>
              <w:rPr>
                <w:rFonts w:ascii="仿宋_GB2312" w:hAnsi="仿宋_GB2312" w:cs="仿宋_GB2312" w:eastAsia="仿宋_GB2312"/>
              </w:rPr>
              <w:t>开标一览表 产品技术参数表 投标人应提供的相应资质证明材料.docx 投标函 中小企业声明函 残疾人福利性单位声明函 商务应答表 标的清单 投标文件封面 实施方案.docx 法定代表人证明书与授权委托书..docx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招标响应文件应按照磋商文件的要求盖章签字。</w:t>
            </w:r>
          </w:p>
        </w:tc>
        <w:tc>
          <w:tcPr>
            <w:tcW w:type="dxa" w:w="1661"/>
          </w:tcPr>
          <w:p>
            <w:pPr>
              <w:pStyle w:val="null3"/>
            </w:pPr>
            <w:r>
              <w:rPr>
                <w:rFonts w:ascii="仿宋_GB2312" w:hAnsi="仿宋_GB2312" w:cs="仿宋_GB2312" w:eastAsia="仿宋_GB2312"/>
              </w:rPr>
              <w:t>开标一览表 产品技术参数表 投标人应提供的相应资质证明材料.docx 投标函 中小企业声明函 残疾人福利性单位声明函 商务应答表 标的清单 投标文件封面 实施方案.docx 法定代表人证明书与授权委托书..docx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招标有效期应符合招标文件的要求。</w:t>
            </w:r>
          </w:p>
        </w:tc>
        <w:tc>
          <w:tcPr>
            <w:tcW w:type="dxa" w:w="1661"/>
          </w:tcPr>
          <w:p>
            <w:pPr>
              <w:pStyle w:val="null3"/>
            </w:pPr>
            <w:r>
              <w:rPr>
                <w:rFonts w:ascii="仿宋_GB2312" w:hAnsi="仿宋_GB2312" w:cs="仿宋_GB2312" w:eastAsia="仿宋_GB2312"/>
              </w:rPr>
              <w:t>投标函 法定代表人证明书与授权委托书..docx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对招标文件商务要求作了明确且实质性响应</w:t>
            </w:r>
          </w:p>
        </w:tc>
        <w:tc>
          <w:tcPr>
            <w:tcW w:type="dxa" w:w="1661"/>
          </w:tcPr>
          <w:p>
            <w:pPr>
              <w:pStyle w:val="null3"/>
            </w:pPr>
            <w:r>
              <w:rPr>
                <w:rFonts w:ascii="仿宋_GB2312" w:hAnsi="仿宋_GB2312" w:cs="仿宋_GB2312" w:eastAsia="仿宋_GB2312"/>
              </w:rPr>
              <w:t>商务应答表 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技术要求响应</w:t>
            </w:r>
          </w:p>
        </w:tc>
        <w:tc>
          <w:tcPr>
            <w:tcW w:type="dxa" w:w="3322"/>
          </w:tcPr>
          <w:p>
            <w:pPr>
              <w:pStyle w:val="null3"/>
            </w:pPr>
            <w:r>
              <w:rPr>
                <w:rFonts w:ascii="仿宋_GB2312" w:hAnsi="仿宋_GB2312" w:cs="仿宋_GB2312" w:eastAsia="仿宋_GB2312"/>
              </w:rPr>
              <w:t>对招标文件技术要求作了明确且实质性响应；</w:t>
            </w:r>
          </w:p>
        </w:tc>
        <w:tc>
          <w:tcPr>
            <w:tcW w:type="dxa" w:w="1661"/>
          </w:tcPr>
          <w:p>
            <w:pPr>
              <w:pStyle w:val="null3"/>
            </w:pPr>
            <w:r>
              <w:rPr>
                <w:rFonts w:ascii="仿宋_GB2312" w:hAnsi="仿宋_GB2312" w:cs="仿宋_GB2312" w:eastAsia="仿宋_GB2312"/>
              </w:rPr>
              <w:t>产品技术参数表 实施方案.docx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完全符合、满足招标文件技术参数要求的，计20分，技术指标每有一条负偏离扣3分，本项分扣完为止。 供应商应提供充足的佐证材料（佐证材料包括但不限于：产品彩页、检测报告、官网截图等证明材料）予以佐证，佐证材料应编制在公开招标响应文件中，供应商自行承担因佐证材料不全而被视为技术参数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商务分</w:t>
            </w:r>
          </w:p>
        </w:tc>
        <w:tc>
          <w:tcPr>
            <w:tcW w:type="dxa" w:w="2492"/>
          </w:tcPr>
          <w:p>
            <w:pPr>
              <w:pStyle w:val="null3"/>
            </w:pPr>
            <w:r>
              <w:rPr>
                <w:rFonts w:ascii="仿宋_GB2312" w:hAnsi="仿宋_GB2312" w:cs="仿宋_GB2312" w:eastAsia="仿宋_GB2312"/>
              </w:rPr>
              <w:t>招标文件对交货期、质保期、付款方式、验收等商务要求进行详细说明，完全响应招标文件的计5分，交货期、质保期两项优于招标文件的，最多加5分.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针对本项目有具体可行的售后服务方案及措施，可以对采购单位人员提供贮存、使用配比方法等专业的技术咨询和指导。 ①售后服务方案内容具体、完整、详细、全面的计10分； ②售后服务方案内容欠缺、薄弱的计5分； ③未提供售后服务方案不得分。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提供2023年01月至今类似业绩（仅限于投标人自己实施的）每提供1份得2分，最多得10分。注：提供合同复印件加盖公章。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所投产品生产厂家有可靠、完善的管理制度；有足够的工艺、加工、检验能力；所投产品符合相关标准，有具体可行的质量保证承诺，保证使用单位能熟练正常使用。 ①内容具体、完整、详细、全面的计10分； ②内容欠缺、薄弱的计5分； ③未提供质量保证及与质量保证有关内容的不计分。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履约能力承诺：资金筹措、仓储设施、运输工具、人员素质、管理水平等方面。 ①内容具体、完整、详细、全面的计10分； ②内容欠缺、薄弱的计5分； ③未提供履约能力承诺不得分。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按照有关规定：价格分采用低价优先法计算，即满足文件要求且最后报价最低的投标人的价格为基准价，其价格分为满分。其他投标人的价格分统一按照下列公式计算： 报价得分=（基准价/最终报价）×价格权值（30分）×100%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详见附件：投标人应提供的相应资质证明材料.docx</w:t>
      </w:r>
    </w:p>
    <w:p>
      <w:pPr>
        <w:pStyle w:val="null3"/>
        <w:ind w:firstLine="960"/>
      </w:pPr>
      <w:r>
        <w:rPr>
          <w:rFonts w:ascii="仿宋_GB2312" w:hAnsi="仿宋_GB2312" w:cs="仿宋_GB2312" w:eastAsia="仿宋_GB2312"/>
        </w:rPr>
        <w:t>详见附件：法定代表人证明书与授权委托书..docx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详见附件：物资类合同模板.docx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