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版本号：QXZC-GK2025A01320260106004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乾县西街小学教学设备采购项目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QXZC-GK2025A013</w:t>
      </w:r>
      <w:r>
        <w:br/>
      </w:r>
      <w:r>
        <w:br/>
      </w:r>
      <w:r>
        <w:br/>
      </w:r>
    </w:p>
    <w:p>
      <w:pPr>
        <w:pStyle w:val="null3"/>
        <w:jc w:val="center"/>
        <w:outlineLvl w:val="2"/>
      </w:pPr>
      <w:r>
        <w:rPr>
          <w:rFonts w:ascii="仿宋_GB2312" w:hAnsi="仿宋_GB2312" w:cs="仿宋_GB2312" w:eastAsia="仿宋_GB2312"/>
          <w:sz w:val="28"/>
          <w:b/>
        </w:rPr>
        <w:t>乾县城关西街小学</w:t>
      </w:r>
    </w:p>
    <w:p>
      <w:pPr>
        <w:pStyle w:val="null3"/>
        <w:jc w:val="center"/>
        <w:outlineLvl w:val="2"/>
      </w:pPr>
      <w:r>
        <w:rPr>
          <w:rFonts w:ascii="仿宋_GB2312" w:hAnsi="仿宋_GB2312" w:cs="仿宋_GB2312" w:eastAsia="仿宋_GB2312"/>
          <w:sz w:val="28"/>
          <w:b/>
        </w:rPr>
        <w:t>乾县政府采购中心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乾县政府采购中心</w:t>
      </w:r>
      <w:r>
        <w:rPr>
          <w:rFonts w:ascii="仿宋_GB2312" w:hAnsi="仿宋_GB2312" w:cs="仿宋_GB2312" w:eastAsia="仿宋_GB2312"/>
        </w:rPr>
        <w:t>（以下简称“代理机构”）受</w:t>
      </w:r>
      <w:r>
        <w:rPr>
          <w:rFonts w:ascii="仿宋_GB2312" w:hAnsi="仿宋_GB2312" w:cs="仿宋_GB2312" w:eastAsia="仿宋_GB2312"/>
        </w:rPr>
        <w:t>乾县城关西街小学</w:t>
      </w:r>
      <w:r>
        <w:rPr>
          <w:rFonts w:ascii="仿宋_GB2312" w:hAnsi="仿宋_GB2312" w:cs="仿宋_GB2312" w:eastAsia="仿宋_GB2312"/>
        </w:rPr>
        <w:t>委托，拟对</w:t>
      </w:r>
      <w:r>
        <w:rPr>
          <w:rFonts w:ascii="仿宋_GB2312" w:hAnsi="仿宋_GB2312" w:cs="仿宋_GB2312" w:eastAsia="仿宋_GB2312"/>
        </w:rPr>
        <w:t>乾县西街小学教学设备采购项目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QXZC-GK2025A013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乾县西街小学教学设备采购项目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智慧黑板17套、视频展台17套、智能笔17个、拆除原有黑板17套、管理型智能复合机1台。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2、财务状况报告：提供2024年度完整的财务审计报告或开标时间前三个月内基本账户银行出具的资信证明；</w:t>
      </w:r>
    </w:p>
    <w:p>
      <w:pPr>
        <w:pStyle w:val="null3"/>
      </w:pPr>
      <w:r>
        <w:rPr>
          <w:rFonts w:ascii="仿宋_GB2312" w:hAnsi="仿宋_GB2312" w:cs="仿宋_GB2312" w:eastAsia="仿宋_GB2312"/>
        </w:rPr>
        <w:t>3、税收缴纳证明：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p>
      <w:pPr>
        <w:pStyle w:val="null3"/>
      </w:pPr>
      <w:r>
        <w:rPr>
          <w:rFonts w:ascii="仿宋_GB2312" w:hAnsi="仿宋_GB2312" w:cs="仿宋_GB2312" w:eastAsia="仿宋_GB2312"/>
        </w:rPr>
        <w:t>4、社保缴纳证明：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p>
      <w:pPr>
        <w:pStyle w:val="null3"/>
      </w:pPr>
      <w:r>
        <w:rPr>
          <w:rFonts w:ascii="仿宋_GB2312" w:hAnsi="仿宋_GB2312" w:cs="仿宋_GB2312" w:eastAsia="仿宋_GB2312"/>
        </w:rPr>
        <w:t>5、书面声明：参加本次政府采购活动前3年内在经营活动中没有重大违纪的书面声明；</w:t>
      </w:r>
    </w:p>
    <w:p>
      <w:pPr>
        <w:pStyle w:val="null3"/>
      </w:pPr>
      <w:r>
        <w:rPr>
          <w:rFonts w:ascii="仿宋_GB2312" w:hAnsi="仿宋_GB2312" w:cs="仿宋_GB2312" w:eastAsia="仿宋_GB2312"/>
        </w:rPr>
        <w:t>6、法人身份证明或法定代表人授权书：法定代表人直接参加投标的，须出具法人身份证明（含法人身份证原件、复印件及近6个月内任意一月社保参保证明）；法定代表人授权代表参加投标的，须出具法定代表人授权书（含法人、被授权人身份证复印件）、被授权人身份证原件及近6个月内任意一月社保参保证明；</w:t>
      </w:r>
    </w:p>
    <w:p>
      <w:pPr>
        <w:pStyle w:val="null3"/>
      </w:pPr>
      <w:r>
        <w:rPr>
          <w:rFonts w:ascii="仿宋_GB2312" w:hAnsi="仿宋_GB2312" w:cs="仿宋_GB2312" w:eastAsia="仿宋_GB2312"/>
        </w:rPr>
        <w:t>7、信用中国及中国政府采购网失信行为纪录查询：投标人提供在“信用中国”网站（www.creditchina.gov.cn）、中国政府采购网（www.ccgp.gov.cn）查询的截图。查询范围供应商“不得为被列入“信用中国”网站失信被执行人、重大税收违法案件当事人和中国政府采购网政府采购严重违法失信行为记录查询”；</w:t>
      </w:r>
    </w:p>
    <w:p>
      <w:pPr>
        <w:pStyle w:val="null3"/>
      </w:pPr>
      <w:r>
        <w:rPr>
          <w:rFonts w:ascii="仿宋_GB2312" w:hAnsi="仿宋_GB2312" w:cs="仿宋_GB2312" w:eastAsia="仿宋_GB2312"/>
        </w:rPr>
        <w:t>8、非联合体投标：本项目要求独立法人，不接受联合体投标。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乾县城关西街小学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乾县城关镇新泰巷1号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乾县城关西街小学经办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13636744567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乾县政府采购中心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乾县东新街15号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许先生/杨女士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029-35521143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采购包1：615,400.00元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乾县城关西街小学</w:t>
      </w:r>
      <w:r>
        <w:rPr>
          <w:rFonts w:ascii="仿宋_GB2312" w:hAnsi="仿宋_GB2312" w:cs="仿宋_GB2312" w:eastAsia="仿宋_GB2312"/>
        </w:rPr>
        <w:t>和</w:t>
      </w:r>
      <w:r>
        <w:rPr>
          <w:rFonts w:ascii="仿宋_GB2312" w:hAnsi="仿宋_GB2312" w:cs="仿宋_GB2312" w:eastAsia="仿宋_GB2312"/>
        </w:rPr>
        <w:t>乾县政府采购中心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乾县城关西街小学</w:t>
      </w:r>
      <w:r>
        <w:rPr>
          <w:rFonts w:ascii="仿宋_GB2312" w:hAnsi="仿宋_GB2312" w:cs="仿宋_GB2312" w:eastAsia="仿宋_GB2312"/>
        </w:rPr>
        <w:t>负责解释。除上述招标文件内容，其他内容由</w:t>
      </w:r>
      <w:r>
        <w:rPr>
          <w:rFonts w:ascii="仿宋_GB2312" w:hAnsi="仿宋_GB2312" w:cs="仿宋_GB2312" w:eastAsia="仿宋_GB2312"/>
        </w:rPr>
        <w:t>乾县政府采购中心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乾县城关西街小学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乾县政府采购中心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符合国家及行业相关规定。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联系人：许先生/杨女士</w:t>
      </w:r>
    </w:p>
    <w:p>
      <w:pPr>
        <w:pStyle w:val="null3"/>
      </w:pPr>
      <w:r>
        <w:rPr>
          <w:rFonts w:ascii="仿宋_GB2312" w:hAnsi="仿宋_GB2312" w:cs="仿宋_GB2312" w:eastAsia="仿宋_GB2312"/>
        </w:rPr>
        <w:t>联系电话：029-35521143</w:t>
      </w:r>
    </w:p>
    <w:p>
      <w:pPr>
        <w:pStyle w:val="null3"/>
      </w:pPr>
      <w:r>
        <w:rPr>
          <w:rFonts w:ascii="仿宋_GB2312" w:hAnsi="仿宋_GB2312" w:cs="仿宋_GB2312" w:eastAsia="仿宋_GB2312"/>
        </w:rPr>
        <w:t>地址：乾县东新街15号</w:t>
      </w:r>
    </w:p>
    <w:p>
      <w:pPr>
        <w:pStyle w:val="null3"/>
      </w:pPr>
      <w:r>
        <w:rPr>
          <w:rFonts w:ascii="仿宋_GB2312" w:hAnsi="仿宋_GB2312" w:cs="仿宋_GB2312" w:eastAsia="仿宋_GB2312"/>
        </w:rPr>
        <w:t>邮编：713300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智慧黑板17套、视频展台17套、智能笔17个、拆除原有黑板17套、管理型智能复合机1台。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615,400.00</w:t>
      </w:r>
    </w:p>
    <w:p>
      <w:pPr>
        <w:pStyle w:val="null3"/>
      </w:pPr>
      <w:r>
        <w:rPr>
          <w:rFonts w:ascii="仿宋_GB2312" w:hAnsi="仿宋_GB2312" w:cs="仿宋_GB2312" w:eastAsia="仿宋_GB2312"/>
        </w:rPr>
        <w:t>采购包最高限价（元）: 615,400.00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智慧黑板、视频展台、智能笔、打印机等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615,400.00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标的名称：智慧黑板、视频展台、智能笔、打印机等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8"/>
              <w:gridCol w:w="295"/>
              <w:gridCol w:w="1491"/>
              <w:gridCol w:w="305"/>
              <w:gridCol w:w="274"/>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技术要求</w:t>
                  </w: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智慧黑板</w:t>
                  </w:r>
                  <w:r>
                    <w:br/>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一、硬件参数：</w:t>
                  </w:r>
                </w:p>
                <w:p>
                  <w:pPr>
                    <w:pStyle w:val="null3"/>
                    <w:ind w:left="420"/>
                    <w:jc w:val="both"/>
                  </w:pPr>
                  <w:r>
                    <w:rPr>
                      <w:rFonts w:ascii="仿宋_GB2312" w:hAnsi="仿宋_GB2312" w:cs="仿宋_GB2312" w:eastAsia="仿宋_GB2312"/>
                      <w:sz w:val="20"/>
                    </w:rPr>
                    <w:t>1.</w:t>
                  </w:r>
                  <w:r>
                    <w:rPr>
                      <w:rFonts w:ascii="仿宋_GB2312" w:hAnsi="仿宋_GB2312" w:cs="仿宋_GB2312" w:eastAsia="仿宋_GB2312"/>
                      <w:sz w:val="20"/>
                    </w:rPr>
                    <w:t>显示尺寸：≥86英寸。显示分辨率：3840(H)×2160(V)；显示比例：16:9。</w:t>
                  </w:r>
                </w:p>
                <w:p>
                  <w:pPr>
                    <w:pStyle w:val="null3"/>
                    <w:ind w:left="420"/>
                    <w:jc w:val="left"/>
                  </w:pPr>
                  <w:r>
                    <w:rPr>
                      <w:rFonts w:ascii="仿宋_GB2312" w:hAnsi="仿宋_GB2312" w:cs="仿宋_GB2312" w:eastAsia="仿宋_GB2312"/>
                      <w:sz w:val="20"/>
                    </w:rPr>
                    <w:t>2.</w:t>
                  </w:r>
                  <w:r>
                    <w:rPr>
                      <w:rFonts w:ascii="仿宋_GB2312" w:hAnsi="仿宋_GB2312" w:cs="仿宋_GB2312" w:eastAsia="仿宋_GB2312"/>
                      <w:sz w:val="20"/>
                    </w:rPr>
                    <w:t>内置扬声器，前朝向发声，总功率≥30W。</w:t>
                  </w:r>
                </w:p>
                <w:p>
                  <w:pPr>
                    <w:pStyle w:val="null3"/>
                    <w:ind w:left="420"/>
                    <w:jc w:val="both"/>
                  </w:pPr>
                  <w:r>
                    <w:rPr>
                      <w:rFonts w:ascii="仿宋_GB2312" w:hAnsi="仿宋_GB2312" w:cs="仿宋_GB2312" w:eastAsia="仿宋_GB2312"/>
                      <w:sz w:val="20"/>
                    </w:rPr>
                    <w:t>3.</w:t>
                  </w:r>
                  <w:r>
                    <w:rPr>
                      <w:rFonts w:ascii="仿宋_GB2312" w:hAnsi="仿宋_GB2312" w:cs="仿宋_GB2312" w:eastAsia="仿宋_GB2312"/>
                      <w:sz w:val="20"/>
                    </w:rPr>
                    <w:t>亮度：≥350 cd/㎡；对比度：≥1000：1；可视角度：≥178°。</w:t>
                  </w:r>
                </w:p>
                <w:p>
                  <w:pPr>
                    <w:pStyle w:val="null3"/>
                    <w:ind w:left="420"/>
                    <w:jc w:val="both"/>
                  </w:pPr>
                  <w:r>
                    <w:rPr>
                      <w:rFonts w:ascii="仿宋_GB2312" w:hAnsi="仿宋_GB2312" w:cs="仿宋_GB2312" w:eastAsia="仿宋_GB2312"/>
                      <w:sz w:val="20"/>
                    </w:rPr>
                    <w:t>4</w:t>
                  </w:r>
                  <w:r>
                    <w:rPr>
                      <w:rFonts w:ascii="仿宋_GB2312" w:hAnsi="仿宋_GB2312" w:cs="仿宋_GB2312" w:eastAsia="仿宋_GB2312"/>
                      <w:sz w:val="20"/>
                    </w:rPr>
                    <w:t>显示颜色：</w:t>
                  </w:r>
                  <w:r>
                    <w:rPr>
                      <w:rFonts w:ascii="仿宋_GB2312" w:hAnsi="仿宋_GB2312" w:cs="仿宋_GB2312" w:eastAsia="仿宋_GB2312"/>
                      <w:sz w:val="20"/>
                    </w:rPr>
                    <w:t>≥</w:t>
                  </w:r>
                  <w:r>
                    <w:rPr>
                      <w:rFonts w:ascii="仿宋_GB2312" w:hAnsi="仿宋_GB2312" w:cs="仿宋_GB2312" w:eastAsia="仿宋_GB2312"/>
                      <w:sz w:val="20"/>
                    </w:rPr>
                    <w:t>10bit，透光率</w:t>
                  </w:r>
                  <w:r>
                    <w:rPr>
                      <w:rFonts w:ascii="仿宋_GB2312" w:hAnsi="仿宋_GB2312" w:cs="仿宋_GB2312" w:eastAsia="仿宋_GB2312"/>
                      <w:sz w:val="20"/>
                    </w:rPr>
                    <w:t>≥</w:t>
                  </w:r>
                  <w:r>
                    <w:rPr>
                      <w:rFonts w:ascii="仿宋_GB2312" w:hAnsi="仿宋_GB2312" w:cs="仿宋_GB2312" w:eastAsia="仿宋_GB2312"/>
                      <w:sz w:val="20"/>
                    </w:rPr>
                    <w:t>95%；色彩覆盖率：≥130%。</w:t>
                  </w:r>
                </w:p>
                <w:p>
                  <w:pPr>
                    <w:pStyle w:val="null3"/>
                    <w:ind w:left="420"/>
                    <w:jc w:val="both"/>
                  </w:pPr>
                  <w:r>
                    <w:rPr>
                      <w:rFonts w:ascii="仿宋_GB2312" w:hAnsi="仿宋_GB2312" w:cs="仿宋_GB2312" w:eastAsia="仿宋_GB2312"/>
                      <w:sz w:val="20"/>
                    </w:rPr>
                    <w:t>5.</w:t>
                  </w:r>
                  <w:r>
                    <w:rPr>
                      <w:rFonts w:ascii="仿宋_GB2312" w:hAnsi="仿宋_GB2312" w:cs="仿宋_GB2312" w:eastAsia="仿宋_GB2312"/>
                      <w:sz w:val="20"/>
                    </w:rPr>
                    <w:t>屏幕表面采用全钢化防眩光玻璃；表面硬度≥9H。</w:t>
                  </w:r>
                </w:p>
                <w:p>
                  <w:pPr>
                    <w:pStyle w:val="null3"/>
                    <w:ind w:left="420"/>
                    <w:jc w:val="both"/>
                  </w:pPr>
                  <w:r>
                    <w:rPr>
                      <w:rFonts w:ascii="仿宋_GB2312" w:hAnsi="仿宋_GB2312" w:cs="仿宋_GB2312" w:eastAsia="仿宋_GB2312"/>
                      <w:sz w:val="20"/>
                    </w:rPr>
                    <w:t>6.</w:t>
                  </w:r>
                  <w:r>
                    <w:rPr>
                      <w:rFonts w:ascii="仿宋_GB2312" w:hAnsi="仿宋_GB2312" w:cs="仿宋_GB2312" w:eastAsia="仿宋_GB2312"/>
                      <w:sz w:val="20"/>
                    </w:rPr>
                    <w:t>触摸分辨率：</w:t>
                  </w:r>
                  <w:r>
                    <w:rPr>
                      <w:rFonts w:ascii="仿宋_GB2312" w:hAnsi="仿宋_GB2312" w:cs="仿宋_GB2312" w:eastAsia="仿宋_GB2312"/>
                      <w:sz w:val="20"/>
                    </w:rPr>
                    <w:t>≥</w:t>
                  </w:r>
                  <w:r>
                    <w:rPr>
                      <w:rFonts w:ascii="仿宋_GB2312" w:hAnsi="仿宋_GB2312" w:cs="仿宋_GB2312" w:eastAsia="仿宋_GB2312"/>
                      <w:sz w:val="20"/>
                    </w:rPr>
                    <w:t>32768*32768；触摸精准度：≤1mm；光标速度：≥300点/秒；定位精度：≤1mm。</w:t>
                  </w:r>
                </w:p>
                <w:p>
                  <w:pPr>
                    <w:pStyle w:val="null3"/>
                    <w:ind w:left="420"/>
                    <w:jc w:val="both"/>
                  </w:pPr>
                  <w:r>
                    <w:rPr>
                      <w:rFonts w:ascii="仿宋_GB2312" w:hAnsi="仿宋_GB2312" w:cs="仿宋_GB2312" w:eastAsia="仿宋_GB2312"/>
                      <w:sz w:val="20"/>
                    </w:rPr>
                    <w:t>7.</w:t>
                  </w:r>
                  <w:r>
                    <w:rPr>
                      <w:rFonts w:ascii="仿宋_GB2312" w:hAnsi="仿宋_GB2312" w:cs="仿宋_GB2312" w:eastAsia="仿宋_GB2312"/>
                      <w:sz w:val="20"/>
                    </w:rPr>
                    <w:t>采用电容多点触摸感应技术，在Windows与Android系统均可支持≥20点触摸。</w:t>
                  </w:r>
                </w:p>
                <w:p>
                  <w:pPr>
                    <w:pStyle w:val="null3"/>
                    <w:ind w:left="420"/>
                    <w:jc w:val="both"/>
                  </w:pPr>
                  <w:r>
                    <w:rPr>
                      <w:rFonts w:ascii="仿宋_GB2312" w:hAnsi="仿宋_GB2312" w:cs="仿宋_GB2312" w:eastAsia="仿宋_GB2312"/>
                      <w:sz w:val="20"/>
                    </w:rPr>
                    <w:t>8.</w:t>
                  </w:r>
                  <w:r>
                    <w:rPr>
                      <w:rFonts w:ascii="仿宋_GB2312" w:hAnsi="仿宋_GB2312" w:cs="仿宋_GB2312" w:eastAsia="仿宋_GB2312"/>
                      <w:sz w:val="20"/>
                    </w:rPr>
                    <w:t>安卓系统配置：安卓系统≥11.0，内存≥4G，存储内置≥32G。</w:t>
                  </w:r>
                </w:p>
                <w:p>
                  <w:pPr>
                    <w:pStyle w:val="null3"/>
                    <w:ind w:left="420"/>
                    <w:jc w:val="both"/>
                  </w:pPr>
                  <w:r>
                    <w:rPr>
                      <w:rFonts w:ascii="仿宋_GB2312" w:hAnsi="仿宋_GB2312" w:cs="仿宋_GB2312" w:eastAsia="仿宋_GB2312"/>
                      <w:sz w:val="19"/>
                    </w:rPr>
                    <w:t>9.安装辅材：</w:t>
                  </w:r>
                  <w:r>
                    <w:rPr>
                      <w:rFonts w:ascii="仿宋_GB2312" w:hAnsi="仿宋_GB2312" w:cs="仿宋_GB2312" w:eastAsia="仿宋_GB2312"/>
                      <w:sz w:val="18"/>
                      <w:color w:val="000000"/>
                    </w:rPr>
                    <w:t>吊架，挂件，电源线，数据线</w:t>
                  </w:r>
                  <w:r>
                    <w:rPr>
                      <w:rFonts w:ascii="仿宋_GB2312" w:hAnsi="仿宋_GB2312" w:cs="仿宋_GB2312" w:eastAsia="仿宋_GB2312"/>
                      <w:sz w:val="18"/>
                      <w:color w:val="000000"/>
                    </w:rPr>
                    <w:t>，螺丝</w:t>
                  </w:r>
                  <w:r>
                    <w:rPr>
                      <w:rFonts w:ascii="仿宋_GB2312" w:hAnsi="仿宋_GB2312" w:cs="仿宋_GB2312" w:eastAsia="仿宋_GB2312"/>
                      <w:sz w:val="18"/>
                      <w:color w:val="000000"/>
                    </w:rPr>
                    <w:t>等。</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视频展台</w:t>
                  </w:r>
                  <w:r>
                    <w:br/>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1.采用≥1600万像素摄像头；</w:t>
                  </w:r>
                  <w:r>
                    <w:br/>
                  </w:r>
                  <w:r>
                    <w:rPr>
                      <w:rFonts w:ascii="仿宋_GB2312" w:hAnsi="仿宋_GB2312" w:cs="仿宋_GB2312" w:eastAsia="仿宋_GB2312"/>
                      <w:sz w:val="20"/>
                      <w:color w:val="000000"/>
                    </w:rPr>
                    <w:t>2二维码扫码：支持将书本上的二维码进行扫描识别，并进入系统浏览器获取二维码的链接内容，帮助老师快速获取电子教学资源；</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智能笔</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1.笔身采用圆润一体化笔型设计，表面采用手感漆工艺；</w:t>
                  </w:r>
                  <w:r>
                    <w:br/>
                  </w:r>
                  <w:r>
                    <w:rPr>
                      <w:rFonts w:ascii="仿宋_GB2312" w:hAnsi="仿宋_GB2312" w:cs="仿宋_GB2312" w:eastAsia="仿宋_GB2312"/>
                      <w:sz w:val="18"/>
                      <w:color w:val="000000"/>
                    </w:rPr>
                    <w:t>2.笔身配置具备上下翻页，智能语音，远程聚光灯/放大，书写颜色切换，兼顾触摸书写以及远程操控的握持姿态；</w:t>
                  </w:r>
                  <w:r>
                    <w:br/>
                  </w:r>
                  <w:r>
                    <w:rPr>
                      <w:rFonts w:ascii="仿宋_GB2312" w:hAnsi="仿宋_GB2312" w:cs="仿宋_GB2312" w:eastAsia="仿宋_GB2312"/>
                      <w:sz w:val="18"/>
                      <w:color w:val="000000"/>
                    </w:rPr>
                    <w:t>2.锥型笔尖设计，直径≤3mm；同时支持电容，红外触控设备书写，书写最小精度2mm；</w:t>
                  </w:r>
                  <w:r>
                    <w:br/>
                  </w:r>
                  <w:r>
                    <w:rPr>
                      <w:rFonts w:ascii="仿宋_GB2312" w:hAnsi="仿宋_GB2312" w:cs="仿宋_GB2312" w:eastAsia="仿宋_GB2312"/>
                      <w:sz w:val="18"/>
                      <w:color w:val="000000"/>
                    </w:rPr>
                    <w:t>3.连续书写距离不小于7km；</w:t>
                  </w:r>
                  <w:r>
                    <w:br/>
                  </w:r>
                  <w:r>
                    <w:rPr>
                      <w:rFonts w:ascii="仿宋_GB2312" w:hAnsi="仿宋_GB2312" w:cs="仿宋_GB2312" w:eastAsia="仿宋_GB2312"/>
                      <w:sz w:val="18"/>
                      <w:color w:val="000000"/>
                    </w:rPr>
                    <w:t>5.短按上下翻页按键，可实现白板软件/ppt/pdf等文档上下翻页；长按上下翻页按键3s，可实现ppt播放/退出；</w:t>
                  </w:r>
                  <w:r>
                    <w:br/>
                  </w:r>
                  <w:r>
                    <w:rPr>
                      <w:rFonts w:ascii="仿宋_GB2312" w:hAnsi="仿宋_GB2312" w:cs="仿宋_GB2312" w:eastAsia="仿宋_GB2312"/>
                      <w:sz w:val="18"/>
                      <w:color w:val="000000"/>
                    </w:rPr>
                    <w:t>6.多功能按键：a.短按多功能按键，可实现播放/暂停音视频或flash；b.双击此按键，可实现空鼠/放大镜/聚光灯等功能切换，切换顺序空鼠&gt;放大镜&gt;聚光灯；c.长按此按键即可实现对应功能(空鼠/放大镜/聚光灯)；</w:t>
                  </w:r>
                  <w:r>
                    <w:br/>
                  </w:r>
                  <w:r>
                    <w:rPr>
                      <w:rFonts w:ascii="仿宋_GB2312" w:hAnsi="仿宋_GB2312" w:cs="仿宋_GB2312" w:eastAsia="仿宋_GB2312"/>
                      <w:sz w:val="18"/>
                      <w:color w:val="000000"/>
                    </w:rPr>
                    <w:t>7.语音：内置麦克风，支持按键唤醒语音识别功能。</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拆除原有黑板</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拆除原有普通黑板、恢复墙面、垃圾清运、黑板集中搬运等</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管理型智能复合机</w:t>
                  </w:r>
                  <w:r>
                    <w:br/>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1.处理器：不低于 四核 1.6GHz + 双核 1.4GHz </w:t>
                  </w:r>
                </w:p>
                <w:p>
                  <w:pPr>
                    <w:pStyle w:val="null3"/>
                    <w:jc w:val="both"/>
                  </w:pPr>
                  <w:r>
                    <w:rPr>
                      <w:rFonts w:ascii="仿宋_GB2312" w:hAnsi="仿宋_GB2312" w:cs="仿宋_GB2312" w:eastAsia="仿宋_GB2312"/>
                      <w:sz w:val="19"/>
                    </w:rPr>
                    <w:t>2.硬盘：≥32GB</w:t>
                  </w:r>
                </w:p>
                <w:p>
                  <w:pPr>
                    <w:pStyle w:val="null3"/>
                    <w:jc w:val="both"/>
                  </w:pPr>
                  <w:r>
                    <w:rPr>
                      <w:rFonts w:ascii="仿宋_GB2312" w:hAnsi="仿宋_GB2312" w:cs="仿宋_GB2312" w:eastAsia="仿宋_GB2312"/>
                      <w:sz w:val="19"/>
                    </w:rPr>
                    <w:t xml:space="preserve">3.内存：≥6GB    </w:t>
                  </w:r>
                </w:p>
                <w:p>
                  <w:pPr>
                    <w:pStyle w:val="null3"/>
                    <w:jc w:val="both"/>
                  </w:pPr>
                  <w:r>
                    <w:rPr>
                      <w:rFonts w:ascii="仿宋_GB2312" w:hAnsi="仿宋_GB2312" w:cs="仿宋_GB2312" w:eastAsia="仿宋_GB2312"/>
                      <w:sz w:val="19"/>
                    </w:rPr>
                    <w:t>4.纸盒数量：≥5个</w:t>
                  </w:r>
                </w:p>
                <w:p>
                  <w:pPr>
                    <w:pStyle w:val="null3"/>
                    <w:jc w:val="both"/>
                  </w:pPr>
                  <w:r>
                    <w:rPr>
                      <w:rFonts w:ascii="仿宋_GB2312" w:hAnsi="仿宋_GB2312" w:cs="仿宋_GB2312" w:eastAsia="仿宋_GB2312"/>
                      <w:sz w:val="19"/>
                    </w:rPr>
                    <w:t>5.介质类型：普通纸、彩色透明胶片、标签、信头纸、信翁、预印纸，预打孔纸，彩色纸等</w:t>
                  </w:r>
                </w:p>
                <w:p>
                  <w:pPr>
                    <w:pStyle w:val="null3"/>
                    <w:jc w:val="both"/>
                  </w:pPr>
                  <w:r>
                    <w:rPr>
                      <w:rFonts w:ascii="仿宋_GB2312" w:hAnsi="仿宋_GB2312" w:cs="仿宋_GB2312" w:eastAsia="仿宋_GB2312"/>
                      <w:sz w:val="19"/>
                    </w:rPr>
                    <w:t xml:space="preserve">6.介质类型尺寸：A3、A4、A5、Letter、Legal 等                                  </w:t>
                  </w:r>
                </w:p>
                <w:p>
                  <w:pPr>
                    <w:pStyle w:val="null3"/>
                    <w:jc w:val="both"/>
                  </w:pPr>
                  <w:r>
                    <w:rPr>
                      <w:rFonts w:ascii="仿宋_GB2312" w:hAnsi="仿宋_GB2312" w:cs="仿宋_GB2312" w:eastAsia="仿宋_GB2312"/>
                      <w:sz w:val="19"/>
                    </w:rPr>
                    <w:t>7.打印分辨率：不低于1200×1200dpi 出纸容量：不低于500张、标配</w:t>
                  </w:r>
                </w:p>
                <w:p>
                  <w:pPr>
                    <w:pStyle w:val="null3"/>
                    <w:jc w:val="both"/>
                  </w:pPr>
                  <w:r>
                    <w:rPr>
                      <w:rFonts w:ascii="仿宋_GB2312" w:hAnsi="仿宋_GB2312" w:cs="仿宋_GB2312" w:eastAsia="仿宋_GB2312"/>
                      <w:sz w:val="19"/>
                    </w:rPr>
                    <w:t xml:space="preserve">8.复印分辨率：黑白 / 彩色文本与图形最高不低于 600×600dpiHP       </w:t>
                  </w:r>
                </w:p>
                <w:p>
                  <w:pPr>
                    <w:pStyle w:val="null3"/>
                    <w:jc w:val="both"/>
                  </w:pPr>
                  <w:r>
                    <w:rPr>
                      <w:rFonts w:ascii="仿宋_GB2312" w:hAnsi="仿宋_GB2312" w:cs="仿宋_GB2312" w:eastAsia="仿宋_GB2312"/>
                      <w:sz w:val="19"/>
                    </w:rPr>
                    <w:t>9.扫描速度：单面 60ipm，双面 120ipm（黑白 / 彩色，300dpi）</w:t>
                  </w:r>
                  <w:r>
                    <w:br/>
                  </w:r>
                  <w:r>
                    <w:rPr>
                      <w:rFonts w:ascii="仿宋_GB2312" w:hAnsi="仿宋_GB2312" w:cs="仿宋_GB2312" w:eastAsia="仿宋_GB2312"/>
                      <w:sz w:val="19"/>
                    </w:rPr>
                    <w:t xml:space="preserve">    扫描分辨率：不低于1200dpi，支持 PDF/JPEG/TIFF 等格式               </w:t>
                  </w:r>
                </w:p>
                <w:p>
                  <w:pPr>
                    <w:pStyle w:val="null3"/>
                    <w:jc w:val="both"/>
                  </w:pPr>
                  <w:r>
                    <w:rPr>
                      <w:rFonts w:ascii="仿宋_GB2312" w:hAnsi="仿宋_GB2312" w:cs="仿宋_GB2312" w:eastAsia="仿宋_GB2312"/>
                      <w:sz w:val="19"/>
                    </w:rPr>
                    <w:t>10.支持网络接口：千兆以太网（RJ-45），USB 2.0 设备端口，USB 3.2 Gen1 主机端口，TPM 安全芯片。支持网络协议：IPv4/IPv6：SNMPv1/v2c/v3、HTTP/HTTPS、FTP/TFTP、9100 端口、LPD、IPP / 安全 IPP、IPsec/Firewall 等HP</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bl>
          <w:p>
            <w:pPr>
              <w:pStyle w:val="null3"/>
            </w:pPr>
            <w:r>
              <w:rPr>
                <w:rFonts w:ascii="仿宋_GB2312" w:hAnsi="仿宋_GB2312" w:cs="仿宋_GB2312" w:eastAsia="仿宋_GB2312"/>
              </w:rPr>
              <w:t xml:space="preserve"> </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乾县西街小学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按照国家相关法律和规定，一年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提供2024年度完整的财务审计报告或开标时间前三个月内基本账户银行出具的资信证明；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法人身份证明或法定代表人授权书</w:t>
            </w:r>
          </w:p>
        </w:tc>
        <w:tc>
          <w:tcPr>
            <w:tcW w:type="dxa" w:w="3322"/>
          </w:tcPr>
          <w:p>
            <w:pPr>
              <w:pStyle w:val="null3"/>
            </w:pPr>
            <w:r>
              <w:rPr>
                <w:rFonts w:ascii="仿宋_GB2312" w:hAnsi="仿宋_GB2312" w:cs="仿宋_GB2312" w:eastAsia="仿宋_GB2312"/>
              </w:rPr>
              <w:t>法定代表人直接参加投标的，须出具法人身份证明（含法人身份证原件、复印件及近6个月内任意一月社保参保证明）；法定代表人授权代表参加投标的，须出具法定代表人授权书（含法人、被授权人身份证复印件）、被授权人身份证原件及近6个月内任意一月社保参保证明；</w:t>
            </w:r>
          </w:p>
        </w:tc>
        <w:tc>
          <w:tcPr>
            <w:tcW w:type="dxa" w:w="1661"/>
          </w:tcPr>
          <w:p>
            <w:pPr>
              <w:pStyle w:val="null3"/>
            </w:pPr>
            <w:r>
              <w:rPr>
                <w:rFonts w:ascii="仿宋_GB2312" w:hAnsi="仿宋_GB2312" w:cs="仿宋_GB2312" w:eastAsia="仿宋_GB2312"/>
              </w:rPr>
              <w:t>法定代表人证明书与授权委托书..docx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信用中国及中国政府采购网失信行为纪录查询</w:t>
            </w:r>
          </w:p>
        </w:tc>
        <w:tc>
          <w:tcPr>
            <w:tcW w:type="dxa" w:w="3322"/>
          </w:tcPr>
          <w:p>
            <w:pPr>
              <w:pStyle w:val="null3"/>
            </w:pPr>
            <w:r>
              <w:rPr>
                <w:rFonts w:ascii="仿宋_GB2312" w:hAnsi="仿宋_GB2312" w:cs="仿宋_GB2312" w:eastAsia="仿宋_GB2312"/>
              </w:rPr>
              <w:t>投标人提供在“信用中国”网站（www.creditchina.gov.cn）、中国政府采购网（www.ccgp.gov.cn）查询的截图。查询范围供应商“不得为被列入“信用中国”网站失信被执行人、重大税收违法案件当事人和中国政府采购网政府采购严重违法失信行为记录查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本项目要求独立法人，不接受联合体投标。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除明确允许供应商可以自行编写的外，招标响应文件应按照招标文件给定的格式编制。</w:t>
            </w:r>
          </w:p>
        </w:tc>
        <w:tc>
          <w:tcPr>
            <w:tcW w:type="dxa" w:w="1661"/>
          </w:tcPr>
          <w:p>
            <w:pPr>
              <w:pStyle w:val="null3"/>
            </w:pPr>
            <w:r>
              <w:rPr>
                <w:rFonts w:ascii="仿宋_GB2312" w:hAnsi="仿宋_GB2312" w:cs="仿宋_GB2312" w:eastAsia="仿宋_GB2312"/>
              </w:rPr>
              <w:t>开标一览表 中小企业声明函 商务应答表 法定代表人证明书与授权委托书..docx 资格证明文件.docx 分项报价表.docx 产品技术参数表 投标函 残疾人福利性单位声明函 标的清单 投标文件封面 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供应商名称应与获取招标文件的单位名称一致。</w:t>
            </w:r>
          </w:p>
        </w:tc>
        <w:tc>
          <w:tcPr>
            <w:tcW w:type="dxa" w:w="1661"/>
          </w:tcPr>
          <w:p>
            <w:pPr>
              <w:pStyle w:val="null3"/>
            </w:pPr>
            <w:r>
              <w:rPr>
                <w:rFonts w:ascii="仿宋_GB2312" w:hAnsi="仿宋_GB2312" w:cs="仿宋_GB2312" w:eastAsia="仿宋_GB2312"/>
              </w:rPr>
              <w:t>开标一览表 中小企业声明函 商务应答表 法定代表人证明书与授权委托书..docx 资格证明文件.docx 分项报价表.docx 产品技术参数表 投标函 残疾人福利性单位声明函 标的清单 投标文件封面 实施方案.docx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招标响应文件应按照磋商文件的要求盖章签字。</w:t>
            </w:r>
          </w:p>
        </w:tc>
        <w:tc>
          <w:tcPr>
            <w:tcW w:type="dxa" w:w="1661"/>
          </w:tcPr>
          <w:p>
            <w:pPr>
              <w:pStyle w:val="null3"/>
            </w:pPr>
            <w:r>
              <w:rPr>
                <w:rFonts w:ascii="仿宋_GB2312" w:hAnsi="仿宋_GB2312" w:cs="仿宋_GB2312" w:eastAsia="仿宋_GB2312"/>
              </w:rPr>
              <w:t>开标一览表 中小企业声明函 商务应答表 法定代表人证明书与授权委托书..docx 资格证明文件.docx 分项报价表.docx 产品技术参数表 投标函 残疾人福利性单位声明函 标的清单 投标文件封面 实施方案.docx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招标有效期</w:t>
            </w:r>
          </w:p>
        </w:tc>
        <w:tc>
          <w:tcPr>
            <w:tcW w:type="dxa" w:w="3322"/>
          </w:tcPr>
          <w:p>
            <w:pPr>
              <w:pStyle w:val="null3"/>
            </w:pPr>
            <w:r>
              <w:rPr>
                <w:rFonts w:ascii="仿宋_GB2312" w:hAnsi="仿宋_GB2312" w:cs="仿宋_GB2312" w:eastAsia="仿宋_GB2312"/>
              </w:rPr>
              <w:t>招标有效期应符合招标文件的要求。</w:t>
            </w:r>
          </w:p>
        </w:tc>
        <w:tc>
          <w:tcPr>
            <w:tcW w:type="dxa" w:w="1661"/>
          </w:tcPr>
          <w:p>
            <w:pPr>
              <w:pStyle w:val="null3"/>
            </w:pPr>
            <w:r>
              <w:rPr>
                <w:rFonts w:ascii="仿宋_GB2312" w:hAnsi="仿宋_GB2312" w:cs="仿宋_GB2312" w:eastAsia="仿宋_GB2312"/>
              </w:rPr>
              <w:t>投标函 法定代表人证明书与授权委托书..docx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对招标文件商务要求作了明确且实质性响应</w:t>
            </w:r>
          </w:p>
        </w:tc>
        <w:tc>
          <w:tcPr>
            <w:tcW w:type="dxa" w:w="1661"/>
          </w:tcPr>
          <w:p>
            <w:pPr>
              <w:pStyle w:val="null3"/>
            </w:pPr>
            <w:r>
              <w:rPr>
                <w:rFonts w:ascii="仿宋_GB2312" w:hAnsi="仿宋_GB2312" w:cs="仿宋_GB2312" w:eastAsia="仿宋_GB2312"/>
              </w:rPr>
              <w:t>商务应答表 实施方案.docx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技术要求响应</w:t>
            </w:r>
          </w:p>
        </w:tc>
        <w:tc>
          <w:tcPr>
            <w:tcW w:type="dxa" w:w="3322"/>
          </w:tcPr>
          <w:p>
            <w:pPr>
              <w:pStyle w:val="null3"/>
            </w:pPr>
            <w:r>
              <w:rPr>
                <w:rFonts w:ascii="仿宋_GB2312" w:hAnsi="仿宋_GB2312" w:cs="仿宋_GB2312" w:eastAsia="仿宋_GB2312"/>
              </w:rPr>
              <w:t>对招标文件技术要求作了明确且实质性响应；</w:t>
            </w:r>
          </w:p>
        </w:tc>
        <w:tc>
          <w:tcPr>
            <w:tcW w:type="dxa" w:w="1661"/>
          </w:tcPr>
          <w:p>
            <w:pPr>
              <w:pStyle w:val="null3"/>
            </w:pPr>
            <w:r>
              <w:rPr>
                <w:rFonts w:ascii="仿宋_GB2312" w:hAnsi="仿宋_GB2312" w:cs="仿宋_GB2312" w:eastAsia="仿宋_GB2312"/>
              </w:rPr>
              <w:t>产品技术参数表 实施方案.docx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完全符合、满足招标文件技术参数要求的，计20分，技术指标每有一条负偏离扣1分，本项分扣完为止。 供应商应提供充足的佐证材料（佐证材料包括但不限于：产品彩页、检测报告、官网截图等证明材料）予以佐证，佐证材料应编制在公开招标响应文件中，供应商自行承担因佐证材料不全而被视为技术参数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商务分</w:t>
            </w:r>
          </w:p>
        </w:tc>
        <w:tc>
          <w:tcPr>
            <w:tcW w:type="dxa" w:w="2492"/>
          </w:tcPr>
          <w:p>
            <w:pPr>
              <w:pStyle w:val="null3"/>
            </w:pPr>
            <w:r>
              <w:rPr>
                <w:rFonts w:ascii="仿宋_GB2312" w:hAnsi="仿宋_GB2312" w:cs="仿宋_GB2312" w:eastAsia="仿宋_GB2312"/>
              </w:rPr>
              <w:t>招标文件对交货期、质保期、付款方式、验收等商务要求进行详细说明，完全响应招标文件的计5分，交货期、质保期每项优于招标文件的加2.5分，最多加5分.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后服务方案内容具体、完整、详细、全面的计10分； ②售后服务方案内容欠缺、薄弱的计5分； ③未提供售后服务方案不得分。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提供2023年01月至今类似业绩（仅限于投标人自己实施的）每提供1份得2分，最多得10分。注：提供合同复印件加盖公章。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所投产品生产厂家有可靠、完善的管理制度；有足够的工艺、加工、检验能力；所投产品符合相关标准，有具体可行的质量保证承诺。 1、内容具体、完整、详细、全面的计10分； 2、内容较为具体、较为完整、较为详细、较为全面能满足本项目需求的计8分； 3、内容基本具体、基本完整、基本详细、基本能满足本项目需求的计6分； 4、内容欠缺、薄弱的计4分； 5未提供质量保证及与质量保证有关内容的不计分。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履约能力承诺：资金筹措、仓储设施、运输工具、人员素质、管理水平等方面。 1、内容具体、完整、详细、全面的计10分； 2、内容较为具体、较为完整、较为详细、较为全面能满足本项目需求的计8分； 3、内容基本具体、基本完整、基本详细、基本能满足本项目需求的计6分； 4、内容欠缺、薄弱的计4分； 5、未提供履约能力承诺不得分。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按照有关规定：价格分采用低价优先法计算，即满足文件要求且最后报价最低的投标人的价格为基准价，其价格分为满分。其他投标人的价格分统一按照下列公式计算： 报价得分=（基准价/最终报价）×价格权值（30分）×100%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详见附件：法定代表人证明书与授权委托书..docx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详见附件：物资类合同模板.docx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