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版本号：ZCSP-乾县-2025-0041620251223001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乾县2025年永久基本农田调整和补划潜力摸底及永久基本农田储备区划定项目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ZCSP-乾县-2025-00416</w:t>
      </w:r>
      <w:r>
        <w:br/>
      </w:r>
      <w:r>
        <w:br/>
      </w:r>
      <w:r>
        <w:br/>
      </w:r>
    </w:p>
    <w:p>
      <w:pPr>
        <w:pStyle w:val="null3"/>
        <w:jc w:val="center"/>
        <w:outlineLvl w:val="2"/>
      </w:pPr>
      <w:r>
        <w:rPr>
          <w:rFonts w:ascii="仿宋_GB2312" w:hAnsi="仿宋_GB2312" w:cs="仿宋_GB2312" w:eastAsia="仿宋_GB2312"/>
          <w:sz w:val="28"/>
          <w:b/>
        </w:rPr>
        <w:t>乾县自然资源局</w:t>
      </w:r>
    </w:p>
    <w:p>
      <w:pPr>
        <w:pStyle w:val="null3"/>
        <w:jc w:val="center"/>
        <w:outlineLvl w:val="2"/>
      </w:pPr>
      <w:r>
        <w:rPr>
          <w:rFonts w:ascii="仿宋_GB2312" w:hAnsi="仿宋_GB2312" w:cs="仿宋_GB2312" w:eastAsia="仿宋_GB2312"/>
          <w:sz w:val="28"/>
          <w:b/>
        </w:rPr>
        <w:t>鼎正众创建设集团有限公司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鼎正众创建设集团有限公司</w:t>
      </w:r>
      <w:r>
        <w:rPr>
          <w:rFonts w:ascii="仿宋_GB2312" w:hAnsi="仿宋_GB2312" w:cs="仿宋_GB2312" w:eastAsia="仿宋_GB2312"/>
        </w:rPr>
        <w:t>（以下简称“代理机构”）受</w:t>
      </w:r>
      <w:r>
        <w:rPr>
          <w:rFonts w:ascii="仿宋_GB2312" w:hAnsi="仿宋_GB2312" w:cs="仿宋_GB2312" w:eastAsia="仿宋_GB2312"/>
        </w:rPr>
        <w:t>乾县自然资源局</w:t>
      </w:r>
      <w:r>
        <w:rPr>
          <w:rFonts w:ascii="仿宋_GB2312" w:hAnsi="仿宋_GB2312" w:cs="仿宋_GB2312" w:eastAsia="仿宋_GB2312"/>
        </w:rPr>
        <w:t>委托，拟对</w:t>
      </w:r>
      <w:r>
        <w:rPr>
          <w:rFonts w:ascii="仿宋_GB2312" w:hAnsi="仿宋_GB2312" w:cs="仿宋_GB2312" w:eastAsia="仿宋_GB2312"/>
        </w:rPr>
        <w:t>乾县2025年永久基本农田调整和补划潜力摸底及永久基本农田储备区划定项目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ZCSP-乾县-2025-00416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乾县2025年永久基本农田调整和补划潜力摸底及永久基本农田储备区划定项目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包括乾县2025年永久基本农田调整和补划潜力摸底及乾县永久基本农田储备区划定工作两部分。其中：1.乾县2025年永久基本农田地块调整和补划潜力摸底工作：需对县域永农范围内119690个耕地图斑、18385个非耕地图斑进行梳理摸排，提取永农布局不合理、结构不优化、功能错位、碎片化等问题;并在全县可长期稳定利用耕地中选取优质耕地图斑，作为实施耕地“三位一体”试点补划潜力。2.乾县永久基本农田储备区划定工作：按照陕西省自然资源厅、陕西省农业农村厅《关于建立全省永久基本农田储备库制度及有关工作的通知》要求和技术标准，需划定永久基本农田储备，作为重大建设项目占用或保护红线调整的主要补划来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采购包1（乾县2025年永久基本农田调整和补划潜力摸底及永久基本农田储备区划定项目）：属于专门面向中小企业采购。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授权代表身份证明：供应商应授权合法的人员参加磋商全过程，其中法定代表人直接参加磋商的，须出具法定代表人身份证明及身份证复印件，并与营业执照上信息一致；法定代表人授权代表参加磋商的，须出具法定代表人授权书（附法定代表人、被授权人身份证复印件)及被授权人在本单位缴纳社保证明。供应商需在项目电子化交易系统中按要求上传相应证明文件并进行电子签章。</w:t>
      </w:r>
    </w:p>
    <w:p>
      <w:pPr>
        <w:pStyle w:val="null3"/>
      </w:pPr>
      <w:r>
        <w:rPr>
          <w:rFonts w:ascii="仿宋_GB2312" w:hAnsi="仿宋_GB2312" w:cs="仿宋_GB2312" w:eastAsia="仿宋_GB2312"/>
        </w:rPr>
        <w:t>2、资质证明文件：供应商须同时具备行政主管部门颁发的测绘乙级及以上资质和土地规划乙级及以上资质；供应商需在项目电子化交易系统中按要求上传相应证明文件并进行电子签章。</w:t>
      </w:r>
    </w:p>
    <w:p>
      <w:pPr>
        <w:pStyle w:val="null3"/>
      </w:pPr>
      <w:r>
        <w:rPr>
          <w:rFonts w:ascii="仿宋_GB2312" w:hAnsi="仿宋_GB2312" w:cs="仿宋_GB2312" w:eastAsia="仿宋_GB2312"/>
        </w:rPr>
        <w:t>3、信用记录：供应商不得在“信用中国”网站(http://www.creditchina.gov.cn)被列入失信被执行人、重大税收违法失信主体；不得在“中国政府采购网” (http://www.ccgp.gov.cn) 被列入政府采购严重违法失信行为记录名单。</w:t>
      </w:r>
    </w:p>
    <w:p>
      <w:pPr>
        <w:pStyle w:val="null3"/>
      </w:pPr>
      <w:r>
        <w:rPr>
          <w:rFonts w:ascii="仿宋_GB2312" w:hAnsi="仿宋_GB2312" w:cs="仿宋_GB2312" w:eastAsia="仿宋_GB2312"/>
        </w:rPr>
        <w:t>4、不接受联合体磋商：供应商须提供《非联合体磋商声明函》，供应商需在项目电子化交易系统中按要求上传相应证明文件并进行电子签章。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乾县自然资源局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乾县东环北路8号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李科伟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15319070522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鼎正众创建设集团有限公司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陕西省西安市雁塔区高新区科技路创业广场B座1506室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张禄洁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13720580162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乾县政府采购管理股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吴翌真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13772572080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采购包1：759,133.83元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国家发改委发改办价格〔2003〕857号文和国家发改委发改价格〔2011〕534号文规定的标准执行，按差额定率累进法收取费用；100万以下按1.5%收取；不足5000元的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乾县自然资源局</w:t>
      </w:r>
      <w:r>
        <w:rPr>
          <w:rFonts w:ascii="仿宋_GB2312" w:hAnsi="仿宋_GB2312" w:cs="仿宋_GB2312" w:eastAsia="仿宋_GB2312"/>
        </w:rPr>
        <w:t>和</w:t>
      </w:r>
      <w:r>
        <w:rPr>
          <w:rFonts w:ascii="仿宋_GB2312" w:hAnsi="仿宋_GB2312" w:cs="仿宋_GB2312" w:eastAsia="仿宋_GB2312"/>
        </w:rPr>
        <w:t>鼎正众创建设集团有限公司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乾县自然资源局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鼎正众创建设集团有限公司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乾县自然资源局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鼎正众创建设集团有限公司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1、成果要求： 成果主要包括文字成果、图件成果、数据库成果，涉及的文、图、表、数应相辅相成，衔接一致。 2、验收标准： 符合现行国家及行业相关规范及标准。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联系人：张禄洁</w:t>
      </w:r>
    </w:p>
    <w:p>
      <w:pPr>
        <w:pStyle w:val="null3"/>
      </w:pPr>
      <w:r>
        <w:rPr>
          <w:rFonts w:ascii="仿宋_GB2312" w:hAnsi="仿宋_GB2312" w:cs="仿宋_GB2312" w:eastAsia="仿宋_GB2312"/>
        </w:rPr>
        <w:t>联系电话：029-88861150</w:t>
      </w:r>
    </w:p>
    <w:p>
      <w:pPr>
        <w:pStyle w:val="null3"/>
      </w:pPr>
      <w:r>
        <w:rPr>
          <w:rFonts w:ascii="仿宋_GB2312" w:hAnsi="仿宋_GB2312" w:cs="仿宋_GB2312" w:eastAsia="仿宋_GB2312"/>
        </w:rPr>
        <w:t>地址：陕西省西安市雁塔区高新区科技路创业广场B座1506室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包括乾县2025年永久基本农田调整和补划潜力摸底及乾县永久基本农田储备区划定工作两部分。其中：1.乾县2025年永久基本农田地块调整和补划潜力摸底工作：需对县域永农范围内119690个耕地图斑、18385个非耕地图斑进行梳理摸排，提取永农布局不合理、结构不优化、功能错位、碎片化等问题;并在全县可长期稳定利用耕地中选取优质耕地图斑，作为实施耕地“三位一体”试点补划潜力。2.乾县永久基本农田储备区划定工作：按照陕西省自然资源厅、陕西省农业农村厅《关于建立全省永久基本农田储备库制度及有关工作的通知》要求和技术标准，需划定永久基本农田储备，作为重大建设项目占用或保护红线调整的主要补划来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759,133.83</w:t>
      </w:r>
    </w:p>
    <w:p>
      <w:pPr>
        <w:pStyle w:val="null3"/>
      </w:pPr>
      <w:r>
        <w:rPr>
          <w:rFonts w:ascii="仿宋_GB2312" w:hAnsi="仿宋_GB2312" w:cs="仿宋_GB2312" w:eastAsia="仿宋_GB2312"/>
        </w:rPr>
        <w:t>采购包最高限价（元）: 759,133.83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乾县2025年永久基本农田调整和补划潜力摸底及永久基本农田储备区划定项目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759,133.83</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标的名称：乾县2025年永久基本农田调整和补划潜力摸底及永久基本农田储备区划定项目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b/>
              </w:rPr>
              <w:t>一、基本要求</w:t>
            </w:r>
          </w:p>
          <w:p>
            <w:pPr>
              <w:pStyle w:val="null3"/>
              <w:ind w:firstLine="560"/>
            </w:pPr>
            <w:r>
              <w:rPr>
                <w:rFonts w:ascii="仿宋_GB2312" w:hAnsi="仿宋_GB2312" w:cs="仿宋_GB2312" w:eastAsia="仿宋_GB2312"/>
              </w:rPr>
              <w:t>（一）功能要求：</w:t>
            </w:r>
          </w:p>
          <w:p>
            <w:pPr>
              <w:pStyle w:val="null3"/>
              <w:ind w:firstLine="560"/>
            </w:pPr>
            <w:r>
              <w:rPr>
                <w:rFonts w:ascii="仿宋_GB2312" w:hAnsi="仿宋_GB2312" w:cs="仿宋_GB2312" w:eastAsia="仿宋_GB2312"/>
              </w:rPr>
              <w:t>1.乾县2025年永久基本农田地块调整和补划潜力摸底工作：需对县域永农范围内119690个耕地图斑、18385个非耕地图斑进行梳理摸排，提取永农布局不合理、结构不优化、功能错位、碎片化等问题;并在全县可长期稳定利用耕地中选取优质耕地图斑，作为实施耕地“三位一体”试点补划潜力。</w:t>
            </w:r>
          </w:p>
          <w:p>
            <w:pPr>
              <w:pStyle w:val="null3"/>
              <w:ind w:firstLine="560"/>
            </w:pPr>
            <w:r>
              <w:rPr>
                <w:rFonts w:ascii="仿宋_GB2312" w:hAnsi="仿宋_GB2312" w:cs="仿宋_GB2312" w:eastAsia="仿宋_GB2312"/>
              </w:rPr>
              <w:t>2.乾县永久基本农田储备区划定工作：按照陕西省自然资源厅、陕西省农业农村厅《关于建立全省永久基本农田储备库制度及有关工作的通知》要求和技术标准，需划定永久基本农田储备，作为重大建设项目占用或保护红线调整的主要补划来源。</w:t>
            </w:r>
          </w:p>
          <w:p>
            <w:pPr>
              <w:pStyle w:val="null3"/>
              <w:ind w:firstLine="560"/>
            </w:pPr>
            <w:r>
              <w:rPr>
                <w:rFonts w:ascii="仿宋_GB2312" w:hAnsi="仿宋_GB2312" w:cs="仿宋_GB2312" w:eastAsia="仿宋_GB2312"/>
              </w:rPr>
              <w:t>（二）服务期限：自合同签订之日起60日历天。</w:t>
            </w:r>
          </w:p>
          <w:p>
            <w:pPr>
              <w:pStyle w:val="null3"/>
              <w:ind w:firstLine="560"/>
            </w:pPr>
            <w:r>
              <w:rPr>
                <w:rFonts w:ascii="仿宋_GB2312" w:hAnsi="仿宋_GB2312" w:cs="仿宋_GB2312" w:eastAsia="仿宋_GB2312"/>
              </w:rPr>
              <w:t>（三）服务地点：采购人指定地点</w:t>
            </w:r>
          </w:p>
          <w:p>
            <w:pPr>
              <w:pStyle w:val="null3"/>
              <w:ind w:firstLine="560"/>
            </w:pPr>
            <w:r>
              <w:rPr>
                <w:rFonts w:ascii="仿宋_GB2312" w:hAnsi="仿宋_GB2312" w:cs="仿宋_GB2312" w:eastAsia="仿宋_GB2312"/>
              </w:rPr>
              <w:t>（四）服务质量标准：符合现行国家及行业相关规范及标准。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2"/>
              <w:jc w:val="both"/>
            </w:pPr>
            <w:r>
              <w:rPr>
                <w:rFonts w:ascii="仿宋_GB2312" w:hAnsi="仿宋_GB2312" w:cs="仿宋_GB2312" w:eastAsia="仿宋_GB2312"/>
                <w:b/>
              </w:rPr>
              <w:t>二、需执行的国家相关标准、行业标准、地方标准或者其他标准、规范标准</w:t>
            </w:r>
          </w:p>
          <w:p>
            <w:pPr>
              <w:pStyle w:val="null3"/>
              <w:ind w:firstLine="560"/>
            </w:pPr>
            <w:r>
              <w:rPr>
                <w:rFonts w:ascii="仿宋_GB2312" w:hAnsi="仿宋_GB2312" w:cs="仿宋_GB2312" w:eastAsia="仿宋_GB2312"/>
              </w:rPr>
              <w:t>1、《土地管理法》；</w:t>
            </w:r>
          </w:p>
          <w:p>
            <w:pPr>
              <w:pStyle w:val="null3"/>
              <w:ind w:firstLine="560"/>
            </w:pPr>
            <w:r>
              <w:rPr>
                <w:rFonts w:ascii="仿宋_GB2312" w:hAnsi="仿宋_GB2312" w:cs="仿宋_GB2312" w:eastAsia="仿宋_GB2312"/>
              </w:rPr>
              <w:t>2、《土地管理法实施条例》；</w:t>
            </w:r>
          </w:p>
          <w:p>
            <w:pPr>
              <w:pStyle w:val="null3"/>
              <w:ind w:firstLine="560"/>
            </w:pPr>
            <w:r>
              <w:rPr>
                <w:rFonts w:ascii="仿宋_GB2312" w:hAnsi="仿宋_GB2312" w:cs="仿宋_GB2312" w:eastAsia="仿宋_GB2312"/>
              </w:rPr>
              <w:t>3、《永久基本农田保护条例》；</w:t>
            </w:r>
          </w:p>
          <w:p>
            <w:pPr>
              <w:pStyle w:val="null3"/>
              <w:ind w:firstLine="560"/>
            </w:pPr>
            <w:r>
              <w:rPr>
                <w:rFonts w:ascii="仿宋_GB2312" w:hAnsi="仿宋_GB2312" w:cs="仿宋_GB2312" w:eastAsia="仿宋_GB2312"/>
              </w:rPr>
              <w:t>4、《永久基本农田储备区划定技术规程》（TD/T 1060-2022）；</w:t>
            </w:r>
          </w:p>
          <w:p>
            <w:pPr>
              <w:pStyle w:val="null3"/>
              <w:ind w:firstLine="560"/>
            </w:pPr>
            <w:r>
              <w:rPr>
                <w:rFonts w:ascii="仿宋_GB2312" w:hAnsi="仿宋_GB2312" w:cs="仿宋_GB2312" w:eastAsia="仿宋_GB2312"/>
              </w:rPr>
              <w:t>5、《国土空间调查、规划、用途管制用地用海分类指南》；</w:t>
            </w:r>
          </w:p>
          <w:p>
            <w:pPr>
              <w:pStyle w:val="null3"/>
              <w:ind w:firstLine="560"/>
            </w:pPr>
            <w:r>
              <w:rPr>
                <w:rFonts w:ascii="仿宋_GB2312" w:hAnsi="仿宋_GB2312" w:cs="仿宋_GB2312" w:eastAsia="仿宋_GB2312"/>
              </w:rPr>
              <w:t>6、《自然资源部办公厅 国家林业和草原局办公室关于支持陕西开展“耕地数量、质量、生态三位一体保护”试点的意见》（自然资办函〔2025)1591号）；</w:t>
            </w:r>
          </w:p>
          <w:p>
            <w:pPr>
              <w:pStyle w:val="null3"/>
              <w:ind w:firstLine="560"/>
            </w:pPr>
            <w:r>
              <w:rPr>
                <w:rFonts w:ascii="仿宋_GB2312" w:hAnsi="仿宋_GB2312" w:cs="仿宋_GB2312" w:eastAsia="仿宋_GB2312"/>
              </w:rPr>
              <w:t>7、《陕西省人民政府办公厅关于印发“耕地数量、质量、生态三位一体保护”试点实施方案的通知》（陕政办函〔2025112号）；</w:t>
            </w:r>
          </w:p>
          <w:p>
            <w:pPr>
              <w:pStyle w:val="null3"/>
            </w:pPr>
            <w:r>
              <w:rPr>
                <w:rFonts w:ascii="仿宋_GB2312" w:hAnsi="仿宋_GB2312" w:cs="仿宋_GB2312" w:eastAsia="仿宋_GB2312"/>
              </w:rPr>
              <w:t xml:space="preserve">          8、《陕西省自然资源厅 陕西省农业农村厅关于建立全省永久基本农田储备库制度及有关工作的通知》（陕自然资发[2025】838号）；</w:t>
            </w:r>
          </w:p>
          <w:p>
            <w:pPr>
              <w:pStyle w:val="null3"/>
            </w:pPr>
            <w:r>
              <w:rPr>
                <w:rFonts w:ascii="仿宋_GB2312" w:hAnsi="仿宋_GB2312" w:cs="仿宋_GB2312" w:eastAsia="仿宋_GB2312"/>
              </w:rPr>
              <w:t xml:space="preserve">          9、其他相关依据和标准。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02"/>
            </w:pPr>
            <w:r>
              <w:rPr>
                <w:rFonts w:ascii="仿宋_GB2312" w:hAnsi="仿宋_GB2312" w:cs="仿宋_GB2312" w:eastAsia="仿宋_GB2312"/>
                <w:b/>
              </w:rPr>
              <w:t>三、工作任务</w:t>
            </w:r>
          </w:p>
          <w:p>
            <w:pPr>
              <w:pStyle w:val="null3"/>
              <w:ind w:firstLine="402"/>
            </w:pPr>
            <w:r>
              <w:rPr>
                <w:rFonts w:ascii="仿宋_GB2312" w:hAnsi="仿宋_GB2312" w:cs="仿宋_GB2312" w:eastAsia="仿宋_GB2312"/>
                <w:b/>
              </w:rPr>
              <w:t>1.乾县2025年永久基本农田地块调整和补划潜力摸底工作</w:t>
            </w:r>
          </w:p>
          <w:p>
            <w:pPr>
              <w:pStyle w:val="null3"/>
              <w:ind w:firstLine="400"/>
            </w:pPr>
            <w:r>
              <w:rPr>
                <w:rFonts w:ascii="仿宋_GB2312" w:hAnsi="仿宋_GB2312" w:cs="仿宋_GB2312" w:eastAsia="仿宋_GB2312"/>
              </w:rPr>
              <w:t>在乾县“三区三线”划定国土空间框架下，通过摸排掌握永久基本农田布局不合理、结构不优化、功能错位、碎片化等问题，按照上级工作要求，全面优化耕地布局，实现永久基本农田“数量不减少、质量有提升、布局更优化”的目标，确保补划地块为长期稳定利用的优质耕地，实现耕地保护与生态安全、城镇发展的平衡。</w:t>
            </w:r>
          </w:p>
          <w:p>
            <w:pPr>
              <w:pStyle w:val="null3"/>
              <w:ind w:firstLine="400"/>
            </w:pPr>
            <w:r>
              <w:rPr>
                <w:rFonts w:ascii="仿宋_GB2312" w:hAnsi="仿宋_GB2312" w:cs="仿宋_GB2312" w:eastAsia="仿宋_GB2312"/>
              </w:rPr>
              <w:t>通过本次调查摸底，理清县域耕地“非粮化”“非农化”图斑成因(如种植经济作物、撂荒、建设占用等),根据各类图斑实际情况，按照“认定一批”“恢复一批”“置换一批”的工作思路，分类制定整治策略，缓解当前县域耕地保护压力。</w:t>
            </w:r>
          </w:p>
          <w:p>
            <w:pPr>
              <w:pStyle w:val="null3"/>
              <w:ind w:firstLine="402"/>
            </w:pPr>
            <w:r>
              <w:rPr>
                <w:rFonts w:ascii="仿宋_GB2312" w:hAnsi="仿宋_GB2312" w:cs="仿宋_GB2312" w:eastAsia="仿宋_GB2312"/>
                <w:b/>
              </w:rPr>
              <w:t>2.乾县永久基本农田储备区划定工作</w:t>
            </w:r>
          </w:p>
          <w:p>
            <w:pPr>
              <w:pStyle w:val="null3"/>
              <w:ind w:firstLine="400"/>
            </w:pPr>
            <w:r>
              <w:rPr>
                <w:rFonts w:ascii="仿宋_GB2312" w:hAnsi="仿宋_GB2312" w:cs="仿宋_GB2312" w:eastAsia="仿宋_GB2312"/>
              </w:rPr>
              <w:t>根据工作要求，结合国土变更调查、高标准农田建设、全域土地综合整治、生态修复等工作，将地块集中连片、基础设施完善等优质耕地及时纳入永久基本农田储备库，作为重大建设项目占用或保护红线调整的主要补划来源。本次储备库划定规模，总体上按照不低于“三区三线”划定永久基本农田保护目标1%的比例确定规模（乾县“三区三线”划定永久基本农田59.03万亩，即59.03万亩*1%=0.5903万亩），再加上考虑2024年永久基本农田考核任务缺口，全县预计划定储备区0.93万亩耕地，原则上要达到高标准农田的耕地质量标准。</w:t>
            </w:r>
          </w:p>
          <w:p>
            <w:pPr>
              <w:pStyle w:val="null3"/>
              <w:jc w:val="both"/>
            </w:pPr>
            <w:r>
              <w:rPr>
                <w:rFonts w:ascii="仿宋_GB2312" w:hAnsi="仿宋_GB2312" w:cs="仿宋_GB2312" w:eastAsia="仿宋_GB2312"/>
              </w:rPr>
              <w:t>结合永久基本农田地块调整和补划潜力摸底工作，选取补划潜力图斑中地块集中连片、基础设施完善等优质耕地，将其优先作为储备区来源。储备区实行动态调整机制，对日常变更调查中确认新增耕地，且符合优先纳入类型的，可及时补充更新储备库，确保储备库优质耕地数量充足、质量稳定、集中连片。</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02"/>
              <w:jc w:val="both"/>
            </w:pPr>
            <w:r>
              <w:rPr>
                <w:rFonts w:ascii="仿宋_GB2312" w:hAnsi="仿宋_GB2312" w:cs="仿宋_GB2312" w:eastAsia="仿宋_GB2312"/>
                <w:b/>
              </w:rPr>
              <w:t>四、工作内容</w:t>
            </w:r>
          </w:p>
          <w:p>
            <w:pPr>
              <w:pStyle w:val="null3"/>
              <w:ind w:firstLine="402"/>
            </w:pPr>
            <w:r>
              <w:rPr>
                <w:rFonts w:ascii="仿宋_GB2312" w:hAnsi="仿宋_GB2312" w:cs="仿宋_GB2312" w:eastAsia="仿宋_GB2312"/>
                <w:b/>
              </w:rPr>
              <w:t>1.乾县2025年永久基本农田地块调整和补划潜力摸底工作</w:t>
            </w:r>
          </w:p>
          <w:p>
            <w:pPr>
              <w:pStyle w:val="null3"/>
              <w:ind w:firstLine="400"/>
            </w:pPr>
            <w:r>
              <w:rPr>
                <w:rFonts w:ascii="仿宋_GB2312" w:hAnsi="仿宋_GB2312" w:cs="仿宋_GB2312" w:eastAsia="仿宋_GB2312"/>
              </w:rPr>
              <w:t>(一)图斑的提取</w:t>
            </w:r>
          </w:p>
          <w:p>
            <w:pPr>
              <w:pStyle w:val="null3"/>
              <w:ind w:firstLine="400"/>
            </w:pPr>
            <w:r>
              <w:rPr>
                <w:rFonts w:ascii="仿宋_GB2312" w:hAnsi="仿宋_GB2312" w:cs="仿宋_GB2312" w:eastAsia="仿宋_GB2312"/>
              </w:rPr>
              <w:t>（1）永农范围内为耕地但实地非耕地图斑提取</w:t>
            </w:r>
          </w:p>
          <w:p>
            <w:pPr>
              <w:pStyle w:val="null3"/>
              <w:ind w:firstLine="400"/>
            </w:pPr>
            <w:r>
              <w:rPr>
                <w:rFonts w:ascii="仿宋_GB2312" w:hAnsi="仿宋_GB2312" w:cs="仿宋_GB2312" w:eastAsia="仿宋_GB2312"/>
              </w:rPr>
              <w:t>以“乾县2024年度变更调查“一上”数据库、核实处置后永久基本农田管理范围线”为基础，叠加最新拍摄0.1米分辨率正射影像，对县域永久基本农田图斑119690个进行梳理摸排，提取永久基本农田范围内建设占用耕地、实地非耕且无法恢复、不宜稳定利用耕地、各类与相关行业管理数据冲突的耕地(如退耕还林、河道管理范围内耕地、25度以上不稳定耕地等),以及其他不宜保留耕地。</w:t>
            </w:r>
          </w:p>
          <w:p>
            <w:pPr>
              <w:pStyle w:val="null3"/>
              <w:ind w:firstLine="400"/>
            </w:pPr>
            <w:r>
              <w:rPr>
                <w:rFonts w:ascii="仿宋_GB2312" w:hAnsi="仿宋_GB2312" w:cs="仿宋_GB2312" w:eastAsia="仿宋_GB2312"/>
              </w:rPr>
              <w:t>（2）永久基本农田范围内非耕地图斑提取</w:t>
            </w:r>
          </w:p>
          <w:p>
            <w:pPr>
              <w:pStyle w:val="null3"/>
              <w:ind w:firstLine="400"/>
            </w:pPr>
            <w:r>
              <w:rPr>
                <w:rFonts w:ascii="仿宋_GB2312" w:hAnsi="仿宋_GB2312" w:cs="仿宋_GB2312" w:eastAsia="仿宋_GB2312"/>
              </w:rPr>
              <w:t>以“乾县2024年度变更调查“一上”数据库、核实处置后永久基本农田管理范围线”为基础，叠加最新拍摄0.1米分辨率正射影像，对县域永久基本农田范围内18385个非耕地图斑进行全面筛查，提取永农范围内非耕地图斑，根据图斑实际情况，按照可就地恢复、无法恢复或调出置换标准，分类制定整治策略。</w:t>
            </w:r>
          </w:p>
          <w:p>
            <w:pPr>
              <w:pStyle w:val="null3"/>
              <w:ind w:firstLine="400"/>
            </w:pPr>
            <w:r>
              <w:rPr>
                <w:rFonts w:ascii="仿宋_GB2312" w:hAnsi="仿宋_GB2312" w:cs="仿宋_GB2312" w:eastAsia="仿宋_GB2312"/>
              </w:rPr>
              <w:t>（3）永久基本农田补划潜力图斑摸排</w:t>
            </w:r>
          </w:p>
          <w:p>
            <w:pPr>
              <w:pStyle w:val="null3"/>
              <w:ind w:firstLine="400"/>
            </w:pPr>
            <w:r>
              <w:rPr>
                <w:rFonts w:ascii="仿宋_GB2312" w:hAnsi="仿宋_GB2312" w:cs="仿宋_GB2312" w:eastAsia="仿宋_GB2312"/>
              </w:rPr>
              <w:t>套合乾县2024年度变更调查“一上”数据库、核实处置后永久基本农田管理范围线，叠加最新拍摄0.1米分辨率正射影像，梳理县域永农外可长期稳定利用耕地图斑156154 个，作为实施“耕地数量、质量、生态”三位一体试点补划潜力。</w:t>
            </w:r>
          </w:p>
          <w:p>
            <w:pPr>
              <w:pStyle w:val="null3"/>
              <w:ind w:firstLine="400"/>
            </w:pPr>
            <w:r>
              <w:rPr>
                <w:rFonts w:ascii="仿宋_GB2312" w:hAnsi="仿宋_GB2312" w:cs="仿宋_GB2312" w:eastAsia="仿宋_GB2312"/>
              </w:rPr>
              <w:t>(二)数据库建设</w:t>
            </w:r>
          </w:p>
          <w:p>
            <w:pPr>
              <w:pStyle w:val="null3"/>
              <w:ind w:firstLine="400"/>
            </w:pPr>
            <w:r>
              <w:rPr>
                <w:rFonts w:ascii="仿宋_GB2312" w:hAnsi="仿宋_GB2312" w:cs="仿宋_GB2312" w:eastAsia="仿宋_GB2312"/>
              </w:rPr>
              <w:t>根据工作要求，对摸排数据进行核查、字段标注、处理、分析，以及进行属性信息修改等，按照本次永农摸底成果上报要求及数据上报格式建立县级数据库，形成汇总表格及文字报告最终报省市审定。</w:t>
            </w:r>
          </w:p>
          <w:p>
            <w:pPr>
              <w:pStyle w:val="null3"/>
              <w:ind w:firstLine="402"/>
            </w:pPr>
            <w:r>
              <w:rPr>
                <w:rFonts w:ascii="仿宋_GB2312" w:hAnsi="仿宋_GB2312" w:cs="仿宋_GB2312" w:eastAsia="仿宋_GB2312"/>
                <w:b/>
              </w:rPr>
              <w:t>2.乾县永久基本农田储备区划定工作</w:t>
            </w:r>
          </w:p>
          <w:p>
            <w:pPr>
              <w:pStyle w:val="null3"/>
              <w:ind w:firstLine="400"/>
            </w:pPr>
            <w:r>
              <w:rPr>
                <w:rFonts w:ascii="仿宋_GB2312" w:hAnsi="仿宋_GB2312" w:cs="仿宋_GB2312" w:eastAsia="仿宋_GB2312"/>
              </w:rPr>
              <w:t>(一)分析潜力</w:t>
            </w:r>
          </w:p>
          <w:p>
            <w:pPr>
              <w:pStyle w:val="null3"/>
              <w:ind w:firstLine="400"/>
            </w:pPr>
            <w:r>
              <w:rPr>
                <w:rFonts w:ascii="仿宋_GB2312" w:hAnsi="仿宋_GB2312" w:cs="仿宋_GB2312" w:eastAsia="仿宋_GB2312"/>
              </w:rPr>
              <w:t>以年度国土变更调查成果为底图，套合叠加永久基本农田核实处置成果、规划城镇建设用地、生态保护红线、退耕还林、已建成高标准农田已取得建设用地批复备案等数据，分析形成永久基本农田储备库潜力数据。</w:t>
            </w:r>
          </w:p>
          <w:p>
            <w:pPr>
              <w:pStyle w:val="null3"/>
              <w:ind w:firstLine="400"/>
            </w:pPr>
            <w:r>
              <w:rPr>
                <w:rFonts w:ascii="仿宋_GB2312" w:hAnsi="仿宋_GB2312" w:cs="仿宋_GB2312" w:eastAsia="仿宋_GB2312"/>
              </w:rPr>
              <w:t>(二)实地踏勘</w:t>
            </w:r>
          </w:p>
          <w:p>
            <w:pPr>
              <w:pStyle w:val="null3"/>
              <w:ind w:firstLine="400"/>
            </w:pPr>
            <w:r>
              <w:rPr>
                <w:rFonts w:ascii="仿宋_GB2312" w:hAnsi="仿宋_GB2312" w:cs="仿宋_GB2312" w:eastAsia="仿宋_GB2312"/>
              </w:rPr>
              <w:t>对拟划入储备区的耕地图斑，通过卫星遥感、外业踏勘、无人机航拍等方式，核实土地实际利用状况，确保“图数实地一致”。</w:t>
            </w:r>
          </w:p>
          <w:p>
            <w:pPr>
              <w:pStyle w:val="null3"/>
              <w:ind w:firstLine="400"/>
            </w:pPr>
            <w:r>
              <w:rPr>
                <w:rFonts w:ascii="仿宋_GB2312" w:hAnsi="仿宋_GB2312" w:cs="仿宋_GB2312" w:eastAsia="仿宋_GB2312"/>
              </w:rPr>
              <w:t>(三)建储备库</w:t>
            </w:r>
          </w:p>
          <w:p>
            <w:pPr>
              <w:pStyle w:val="null3"/>
              <w:ind w:firstLine="400"/>
            </w:pPr>
            <w:r>
              <w:rPr>
                <w:rFonts w:ascii="仿宋_GB2312" w:hAnsi="仿宋_GB2312" w:cs="仿宋_GB2312" w:eastAsia="仿宋_GB2312"/>
              </w:rPr>
              <w:t>按照技术方案建立标准，开展储备库建立工作，切实做到方案文本、数据图层与实地现状一致。并将储备库建立成果纳入“陕西省耕地、永久基本农田和高标准农田一体化管理平台”。</w:t>
            </w:r>
          </w:p>
          <w:p>
            <w:pPr>
              <w:pStyle w:val="null3"/>
              <w:ind w:firstLine="400"/>
            </w:pPr>
            <w:r>
              <w:rPr>
                <w:rFonts w:ascii="仿宋_GB2312" w:hAnsi="仿宋_GB2312" w:cs="仿宋_GB2312" w:eastAsia="仿宋_GB2312"/>
              </w:rPr>
              <w:t>(四)数据审核</w:t>
            </w:r>
          </w:p>
          <w:p>
            <w:pPr>
              <w:pStyle w:val="null3"/>
              <w:ind w:firstLine="400"/>
            </w:pPr>
            <w:r>
              <w:rPr>
                <w:rFonts w:ascii="仿宋_GB2312" w:hAnsi="仿宋_GB2312" w:cs="仿宋_GB2312" w:eastAsia="仿宋_GB2312"/>
              </w:rPr>
              <w:t>根据储备库建立情况，按照“县级申报、市级验收、省级核查”的程序，逐级审核确认和技术检查。</w:t>
            </w:r>
          </w:p>
          <w:p>
            <w:pPr>
              <w:pStyle w:val="null3"/>
              <w:ind w:firstLine="400"/>
            </w:pPr>
            <w:r>
              <w:rPr>
                <w:rFonts w:ascii="仿宋_GB2312" w:hAnsi="仿宋_GB2312" w:cs="仿宋_GB2312" w:eastAsia="仿宋_GB2312"/>
              </w:rPr>
              <w:t>(五)动态更新</w:t>
            </w:r>
          </w:p>
          <w:p>
            <w:pPr>
              <w:pStyle w:val="null3"/>
              <w:ind w:firstLine="400"/>
            </w:pPr>
            <w:r>
              <w:rPr>
                <w:rFonts w:ascii="仿宋_GB2312" w:hAnsi="仿宋_GB2312" w:cs="仿宋_GB2312" w:eastAsia="仿宋_GB2312"/>
              </w:rPr>
              <w:t>储备库数据库实行单独图层管理，每年国土变更调查成果启用1个月后，根据储备库内耕地变化情况，做好年度储备区补充更新。对于日常变更调查中确认的新增耕地，且符合优先划入类型的，可每月申请补充更新。</w:t>
            </w:r>
          </w:p>
          <w:p>
            <w:pPr>
              <w:pStyle w:val="null3"/>
              <w:ind w:firstLine="400"/>
            </w:pPr>
            <w:r>
              <w:rPr>
                <w:rFonts w:ascii="仿宋_GB2312" w:hAnsi="仿宋_GB2312" w:cs="仿宋_GB2312" w:eastAsia="仿宋_GB2312"/>
              </w:rPr>
              <w:t>(六)成果运用</w:t>
            </w:r>
          </w:p>
          <w:p>
            <w:pPr>
              <w:pStyle w:val="null3"/>
              <w:jc w:val="both"/>
            </w:pPr>
            <w:r>
              <w:rPr>
                <w:rFonts w:ascii="仿宋_GB2312" w:hAnsi="仿宋_GB2312" w:cs="仿宋_GB2312" w:eastAsia="仿宋_GB2312"/>
              </w:rPr>
              <w:t xml:space="preserve">        永久基本农田储备库内耕地作为重大建设项目占用和保护红线调整的主要补划来源。</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 xml:space="preserve">         五</w:t>
            </w:r>
            <w:r>
              <w:rPr>
                <w:rFonts w:ascii="仿宋_GB2312" w:hAnsi="仿宋_GB2312" w:cs="仿宋_GB2312" w:eastAsia="仿宋_GB2312"/>
                <w:b/>
              </w:rPr>
              <w:t>、付款方式：</w:t>
            </w:r>
          </w:p>
          <w:p>
            <w:pPr>
              <w:pStyle w:val="null3"/>
              <w:jc w:val="both"/>
            </w:pPr>
            <w:r>
              <w:rPr>
                <w:rFonts w:ascii="仿宋_GB2312" w:hAnsi="仿宋_GB2312" w:cs="仿宋_GB2312" w:eastAsia="仿宋_GB2312"/>
              </w:rPr>
              <w:t xml:space="preserve">         项目完成后，通过市级验收10个工作日内付60%，通过省级验收合格后拨付尾款40%。</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562"/>
              <w:jc w:val="both"/>
            </w:pPr>
            <w:r>
              <w:rPr>
                <w:rFonts w:ascii="仿宋_GB2312" w:hAnsi="仿宋_GB2312" w:cs="仿宋_GB2312" w:eastAsia="仿宋_GB2312"/>
                <w:b/>
              </w:rPr>
              <w:t>六、验收标准</w:t>
            </w:r>
          </w:p>
          <w:p>
            <w:pPr>
              <w:pStyle w:val="null3"/>
              <w:ind w:firstLine="560"/>
              <w:jc w:val="both"/>
            </w:pPr>
            <w:r>
              <w:rPr>
                <w:rFonts w:ascii="仿宋_GB2312" w:hAnsi="仿宋_GB2312" w:cs="仿宋_GB2312" w:eastAsia="仿宋_GB2312"/>
              </w:rPr>
              <w:t>1、成果要求：</w:t>
            </w:r>
          </w:p>
          <w:p>
            <w:pPr>
              <w:pStyle w:val="null3"/>
              <w:ind w:firstLine="560"/>
              <w:jc w:val="both"/>
            </w:pPr>
            <w:r>
              <w:rPr>
                <w:rFonts w:ascii="仿宋_GB2312" w:hAnsi="仿宋_GB2312" w:cs="仿宋_GB2312" w:eastAsia="仿宋_GB2312"/>
              </w:rPr>
              <w:t>成果主要包括文字成果、图件成果、数据库成果，涉及的文、图、表、数应相辅相成，衔接一致。</w:t>
            </w:r>
          </w:p>
          <w:p>
            <w:pPr>
              <w:pStyle w:val="null3"/>
              <w:ind w:firstLine="560"/>
              <w:jc w:val="both"/>
            </w:pPr>
            <w:r>
              <w:rPr>
                <w:rFonts w:ascii="仿宋_GB2312" w:hAnsi="仿宋_GB2312" w:cs="仿宋_GB2312" w:eastAsia="仿宋_GB2312"/>
              </w:rPr>
              <w:t>2、验收标准：</w:t>
            </w:r>
          </w:p>
          <w:p>
            <w:pPr>
              <w:pStyle w:val="null3"/>
              <w:jc w:val="both"/>
            </w:pPr>
            <w:r>
              <w:rPr>
                <w:rFonts w:ascii="仿宋_GB2312" w:hAnsi="仿宋_GB2312" w:cs="仿宋_GB2312" w:eastAsia="仿宋_GB2312"/>
              </w:rPr>
              <w:t xml:space="preserve">           符合现行国家及行业相关规范及标准。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人员配备合理满足本项目各项需求，职责分工明确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1、成果要求： 成果主要包括文字成果、图件成果、数据库成果，涉及的文、图、表、数应相辅相成，衔接一致。 2、验收标准： 符合现行国家及行业相关规范及标准。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项目完成后，通过市级验收10个工作日内付60%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通过省级验收合格后拨付尾款40%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依据《中华人民共和国民法典》的相关条款和本合同约定，乙方未全面履行合同义务或拒绝 继续履行合同义务，造成服务期延误或给甲方带来经济损失，甲方有权单方终止合同，并向乙方索赔。甲方违约的，应赔偿乙方的直接经济损失。在履行本合同期间若发生争议，甲、乙双方应友好协商解决。若协商不成，任何一方均可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响应报价是供应商响应本项目要求的全部工作内容的价格体现，包括供应商完成本项目所需的人工费、设备费、管理费、利润和税金等全部费用。在提供服务的过程中的任何遗漏，均由成交供应商免费提供，采购人将不再支付任何费用。 2、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3、本项目落实政府采购政策：（1）《政府采购促进中小企业发展管理办法》（财库〔2020〕46号）；（2）《关于进一步加大政府采购支持中小企业力度的通知》（财库〔2022〕19号）；（3）《关于政府采购支持监狱企业发展有关问题的通知》（财库〔2014〕68号）；（4）《关于促进残疾人就业政府采购政策的通知》（财库〔2017〕141号）；（5）《财政部 发展改革委生态环境部市场监管总局关于调整优化节能产品、环境标志产品政府采购执行机制的通知》（财库〔2019〕9 号）；（6）《关于印发环境标志产品政府采购品目清单的通知》（财库〔2019〕18号）；（7）《关于印发节能产品政府采购品目清单的通知》（财库〔2019〕19号）；（8）《财政部农业农村部国家乡村振兴局关于运用政府采购政策支持乡村产业振兴的通知》（财库〔2021〕19号）；（9）《关于深入开展政府采购脱贫地区农副产品工作推进乡村产业振兴的实施意见》（财库〔2021〕20号）；（10）《陕西省财政厅关于加快推进我省中小企业政府采购信用融资工作的通知》（陕财办采〔2020〕15号）；（11）《陕西省财政厅关于印发陕西省中小企业政府采购信用融资办法》（陕财办采〔2018〕23号）；（12）《陕西省财政厅关于进一步加强政府绿色采购有关问题的通知》（陕财办采〔2021〕29号）； （13）《商品包装政府采购需求标准（试行）》和《快递包装政府采购需求标准（试行）》（财办库〔2020〕123号）； （14）《数据库政府采购需求标准（2023年版）》（财库〔2023〕35号）；（15）其他需要落实的政府采购政策。 4、中标（成交）供应商在中标（成交）结果公告发布后3个工作日内提供叁套纸质响应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（1）供应商应具有独立承担民事责任的能力，提供合法有效的营业执照；供应商需在项目电子化交易系统中按要求上传相应证明文件并进行电子签章。 （2）供应商提供2024年度经审计的财务审计报告；或提供磋商响应文件递交截止时间前三个月内基本存款账户银行出具的资信证明及基本存款账户银行相关证明资料；供应商需在项目电子化交易系统中按要求上传相应证明文件并进行电子签章。 （3）具有履行合同所必需的设备和专业技术能力书面声明函；供应商需在项目电子化交易系统中按要求上传相应证明文件并进行电子签章。 （4）供应商提供在本项目磋商响应文件递交截止时间前六个月内任意一个月的依法缴纳税收和社会保障资金的证明（依法免税或不需要缴纳社会保障资金的供应商，应提供相应文件证明其依法免税或不需要缴纳社会保障资金）；供应商需在项目电子化交易系统中按要求上传相应证明文件并进行电子签章。 （5）参加政府采购活动前3年内在经营活动中没有重大违法记录的书面声明；供应商需在项目电子化交易系统中按要求上传相应证明文件并进行电子签章。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法定代表人或授权代表身份证明</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及身份证复印件，并与营业执照上信息一致；法定代表人授权代表参加磋商的，须出具法定代表人授权书（附法定代表人、被授权人身份证复印件)及被授权人在本单位缴纳社保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资质证明文件</w:t>
            </w:r>
          </w:p>
        </w:tc>
        <w:tc>
          <w:tcPr>
            <w:tcW w:type="dxa" w:w="3322"/>
          </w:tcPr>
          <w:p>
            <w:pPr>
              <w:pStyle w:val="null3"/>
            </w:pPr>
            <w:r>
              <w:rPr>
                <w:rFonts w:ascii="仿宋_GB2312" w:hAnsi="仿宋_GB2312" w:cs="仿宋_GB2312" w:eastAsia="仿宋_GB2312"/>
              </w:rPr>
              <w:t>供应商须同时具备行政主管部门颁发的测绘乙级及以上资质和土地规划乙级及以上资质；供应商需在项目电子化交易系统中按要求上传相应证明文件并进行电子签章。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供应商不得在“信用中国”网站(http://www.creditchina.gov.cn)被列入失信被执行人、重大税收违法失信主体；不得在“中国政府采购网” (http://www.ccgp.gov.cn) 被列入政府采购严重违法失信行为记录名单。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供应商须提供《非联合体磋商声明函》，供应商需在项目电子化交易系统中按要求上传相应证明文件并进行电子签章。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响应文件封面 法定代表人身份证明书.docx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货币单位符合磋商文件要求，报价符合磋商文件填报要求，报价唯一，且没有超过采购预算或限价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未出现磋商文件规定的无效响应情形</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响应文件封面 法定代表人身份证明书.docx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响应文件封面 法定代表人身份证明书.docx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对磋商文件响应</w:t>
            </w:r>
          </w:p>
        </w:tc>
        <w:tc>
          <w:tcPr>
            <w:tcW w:type="dxa" w:w="3322"/>
          </w:tcPr>
          <w:p>
            <w:pPr>
              <w:pStyle w:val="null3"/>
            </w:pPr>
            <w:r>
              <w:rPr>
                <w:rFonts w:ascii="仿宋_GB2312" w:hAnsi="仿宋_GB2312" w:cs="仿宋_GB2312" w:eastAsia="仿宋_GB2312"/>
              </w:rPr>
              <w:t>完全理解并接受对合格供应商、合格服务的要求，实质性条款全部响应，未有任何采购人不能接受的附加条件</w:t>
            </w:r>
          </w:p>
        </w:tc>
        <w:tc>
          <w:tcPr>
            <w:tcW w:type="dxa" w:w="1661"/>
          </w:tcPr>
          <w:p>
            <w:pPr>
              <w:pStyle w:val="null3"/>
            </w:pPr>
            <w:r>
              <w:rPr>
                <w:rFonts w:ascii="仿宋_GB2312" w:hAnsi="仿宋_GB2312" w:cs="仿宋_GB2312" w:eastAsia="仿宋_GB2312"/>
              </w:rPr>
              <w:t>服务内容及服务邀请应答表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对本项目需求的理解程度（包括项目背景、目的、任务、特点、意义等要求）。 ①有明确的项目背景； ②有清晰的工作目的； ③项目特点分析全面； ④项目意义分析全面； ⑤项目任务描述全面。 以上5项内容每项1分，切合本项目实际情况及采购要求，合理、可行、无缺陷得5分；评审内容缺一项扣1分；每项内容中每有一处存在缺陷的扣0.5分，该项分值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提供的服务方案进行评审，包含但不限于：①工作思路与技术路线；②前期准备方案；③地块调整和补划潜力摸底方案；④储备区划定方案；⑤成果编制。以上5项内容每项6分，切合本项目实际情况及采购要求，合理、可行、无缺陷得30分；评审内容缺一项扣6分；每项内容中每有一处存在缺陷的扣1分，该项分值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针对本项目提供有①重点、难点分析；②解决方案。以上2项内容每项3分，切合本项目实际情况及采购要求，合理、可行、无缺陷得6分；评审内容缺一项扣3分；每项内容中每有一处存在缺陷的扣0.5分，该项分值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进度控制</w:t>
            </w:r>
          </w:p>
        </w:tc>
        <w:tc>
          <w:tcPr>
            <w:tcW w:type="dxa" w:w="2492"/>
          </w:tcPr>
          <w:p>
            <w:pPr>
              <w:pStyle w:val="null3"/>
            </w:pPr>
            <w:r>
              <w:rPr>
                <w:rFonts w:ascii="仿宋_GB2312" w:hAnsi="仿宋_GB2312" w:cs="仿宋_GB2312" w:eastAsia="仿宋_GB2312"/>
              </w:rPr>
              <w:t>根据供应商对项目进度安排及措施进行评审，包括但不限于：①项目进度安排；②进度保证措施。以上2项内容每项3分，切合本项目实际情况及采购要求，合理、可行、无缺陷得6分；评审内容缺一项扣3分；每项内容中每有一处存在缺陷的扣0.5分，该项分值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根据供应商提供的质量控制进行评分，包含但不限于：①质量保证体系；②质量保证措施等。以上2项内容每项3分，切合本项目实际情况及采购要求，合理、可行、无缺陷得6分；评审内容缺一项扣3分；每项内容中每有一处存在缺陷的扣0.5分，该项分值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安全保密</w:t>
            </w:r>
          </w:p>
        </w:tc>
        <w:tc>
          <w:tcPr>
            <w:tcW w:type="dxa" w:w="2492"/>
          </w:tcPr>
          <w:p>
            <w:pPr>
              <w:pStyle w:val="null3"/>
            </w:pPr>
            <w:r>
              <w:rPr>
                <w:rFonts w:ascii="仿宋_GB2312" w:hAnsi="仿宋_GB2312" w:cs="仿宋_GB2312" w:eastAsia="仿宋_GB2312"/>
              </w:rPr>
              <w:t>针对本项目有安全保密措施，包括但不限于①档案管理措施；②数据及成果安全保密措施。以上2项内容每项3分，切合本项目实际情况及采购要求，合理、可行、无缺陷得6分；评审内容缺一项扣3分；每项内容中每有一处存在缺陷的扣0.5分，该项分值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后续服务方案包含但不限于：①后续服务响应时间和后续服务方案；②后续服务机构与人员配置。以上2项内容每项2分，切合本项目实际情况及采购要求，合理、可行、无缺陷得4分；评审内容缺一项扣2分；每项内容中每有一处存在缺陷的扣0.5分，该项分值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仪器设备</w:t>
            </w:r>
          </w:p>
        </w:tc>
        <w:tc>
          <w:tcPr>
            <w:tcW w:type="dxa" w:w="2492"/>
          </w:tcPr>
          <w:p>
            <w:pPr>
              <w:pStyle w:val="null3"/>
            </w:pPr>
            <w:r>
              <w:rPr>
                <w:rFonts w:ascii="仿宋_GB2312" w:hAnsi="仿宋_GB2312" w:cs="仿宋_GB2312" w:eastAsia="仿宋_GB2312"/>
              </w:rPr>
              <w:t>拟投入本项目的仪器设备能满足工作要求，并投入无人机航测系统、GNSS 接收机、PAD/GPS 手持机、全站仪、测距仪等设备。满足项目实施要求，无缺陷得5分，每缺少1项扣1分，扣完为止；未提供不得分。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1、项目负责人具有土地管理或测绘相关专业高级技术职称计3分，具有土地管理或测绘相关专业中级技术职称计1分，其他不得分； 2、拟派项目组成员（除项目负责人以外）具有土地管理或测绘相关专业技术职称证书或注册测绘师资格证书的，每有一人得1分，本项最多得5分。 注：以上人员不重复计分；提供人员相关证书证明材料及在本单位所缴纳的社保缴纳证明材料，未提供不得分。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2022年1月1日至今承接过类似项目业绩，每提供一个业绩得3分，最高得9分； 注：以响应文件中加盖公章的合同协议书为准。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价格分采用低价优先法计算，即满足竞争性磋商文件要求且最后报价最低的供应商的价格为评审基准价，其价格分为满分。其他供应商的价格分统一按照下列公式计算： 报价得分=（评审基准价/最后报价）×价格权值（即15%）×100 注：本项目为专门面向中小企业采购项目，不再执行价格评审优惠的扶持政策。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