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版本号：DY-2026001-HW20251226002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花口初级中学教学设备采购项目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DY-2026001-HW</w:t>
      </w:r>
      <w:r>
        <w:br/>
      </w:r>
      <w:r>
        <w:br/>
      </w:r>
      <w:r>
        <w:br/>
      </w:r>
    </w:p>
    <w:p>
      <w:pPr>
        <w:pStyle w:val="null3"/>
        <w:jc w:val="center"/>
        <w:outlineLvl w:val="2"/>
      </w:pPr>
      <w:r>
        <w:rPr>
          <w:rFonts w:ascii="仿宋_GB2312" w:hAnsi="仿宋_GB2312" w:cs="仿宋_GB2312" w:eastAsia="仿宋_GB2312"/>
          <w:sz w:val="28"/>
          <w:b/>
        </w:rPr>
        <w:t>乾县花口初级中学</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乾县花口初级中学</w:t>
      </w:r>
      <w:r>
        <w:rPr>
          <w:rFonts w:ascii="仿宋_GB2312" w:hAnsi="仿宋_GB2312" w:cs="仿宋_GB2312" w:eastAsia="仿宋_GB2312"/>
        </w:rPr>
        <w:t>委托，拟对</w:t>
      </w:r>
      <w:r>
        <w:rPr>
          <w:rFonts w:ascii="仿宋_GB2312" w:hAnsi="仿宋_GB2312" w:cs="仿宋_GB2312" w:eastAsia="仿宋_GB2312"/>
        </w:rPr>
        <w:t>花口初级中学教学设备采购项目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DY-2026001-HW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花口初级中学教学设备采购项目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为进一步完善、优化教学资源，提高教育教学和教研效率，推进学科教学和信息技术整合，高效实现学校信息化和现代化，经校委会研究决定，拟购置21块电子智慧黑板。</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能力的企业法人、事业法人、其他组织或自然人：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pPr>
        <w:pStyle w:val="null3"/>
      </w:pPr>
      <w:r>
        <w:rPr>
          <w:rFonts w:ascii="仿宋_GB2312" w:hAnsi="仿宋_GB2312" w:cs="仿宋_GB2312" w:eastAsia="仿宋_GB2312"/>
        </w:rPr>
        <w:t>2、供应商应授权合法的人员参加投标：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pPr>
        <w:pStyle w:val="null3"/>
      </w:pPr>
      <w:r>
        <w:rPr>
          <w:rFonts w:ascii="仿宋_GB2312" w:hAnsi="仿宋_GB2312" w:cs="仿宋_GB2312" w:eastAsia="仿宋_GB2312"/>
        </w:rPr>
        <w:t>3、供应商应提供健全的财务会计制度：供应商需提2024年度的财务报告（至少包括财务报告、资产负债表、利润表（或损益表）、现金流量表，成立时间至递交投标文件截止时间不足一年的可提供成立后任意时段的资产负债表），或其开标前三个月内基本存款账户开户银行出具的资信证明及基本存款账户开户信息，其他组织和自然人提供银行出具的资信证明或财务报表。</w:t>
      </w:r>
    </w:p>
    <w:p>
      <w:pPr>
        <w:pStyle w:val="null3"/>
      </w:pPr>
      <w:r>
        <w:rPr>
          <w:rFonts w:ascii="仿宋_GB2312" w:hAnsi="仿宋_GB2312" w:cs="仿宋_GB2312" w:eastAsia="仿宋_GB2312"/>
        </w:rPr>
        <w:t>4、税收缴纳证明：供应商提供投标文件递交截止时间前六个月内任意一月已缴纳的纳税证明或完税证明，依法免税的供应商应提供相关证明文件。</w:t>
      </w:r>
    </w:p>
    <w:p>
      <w:pPr>
        <w:pStyle w:val="null3"/>
      </w:pPr>
      <w:r>
        <w:rPr>
          <w:rFonts w:ascii="仿宋_GB2312" w:hAnsi="仿宋_GB2312" w:cs="仿宋_GB2312" w:eastAsia="仿宋_GB2312"/>
        </w:rPr>
        <w:t>5、社保缴纳证明：供应商提供投标文件递交截止时间前六个月内任意一月已缴存的社会保障资金缴费证明或参保证明，依法不需要缴纳社会保障资金的供应商应提供相关证明文件。</w:t>
      </w:r>
    </w:p>
    <w:p>
      <w:pPr>
        <w:pStyle w:val="null3"/>
      </w:pPr>
      <w:r>
        <w:rPr>
          <w:rFonts w:ascii="仿宋_GB2312" w:hAnsi="仿宋_GB2312" w:cs="仿宋_GB2312" w:eastAsia="仿宋_GB2312"/>
        </w:rPr>
        <w:t>6、无重大违法记录：参加政府采购活动前3年内，在经营活动中没有重大违法记录的书面声明。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7、具有履行合同所必需的设备和专业技术能力：供应商应具有履行合同所必需的设备和专业技术能力，提供承诺书。</w:t>
      </w:r>
    </w:p>
    <w:p>
      <w:pPr>
        <w:pStyle w:val="null3"/>
      </w:pPr>
      <w:r>
        <w:rPr>
          <w:rFonts w:ascii="仿宋_GB2312" w:hAnsi="仿宋_GB2312" w:cs="仿宋_GB2312" w:eastAsia="仿宋_GB2312"/>
        </w:rPr>
        <w:t>8、信用查询：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9、非联合体投标声明：本项目不接受联合体，提供非联合体投标声明。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乾县花口初级中学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乾县城关镇桥西街20号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张会计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029-36525335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西安市雁塔区西三爻村长丰园小区I区1幢C单元11层1110室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郗帆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18128543666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代理服务费收费标准：参照国家计委关于印发《招标代理服务收费管理暂行办法》的通知（计价格〔2002〕1980号）、国家发改委文件发改价格【2011】534号文规定向中标（成交）供应商收取代理服务费。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乾县花口初级中学</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乾县花口初级中学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乾县花口初级中学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以招标文件、合同约定为核心依据，硬件参数与功能、安装规范达标；软件功能完整、性能稳 定、数据对接兼容；服务履约到位；资质与安全合规。全部指标满足要求为合格，不合格项限期整改复验。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联系人：郗帆</w:t>
      </w:r>
    </w:p>
    <w:p>
      <w:pPr>
        <w:pStyle w:val="null3"/>
      </w:pPr>
      <w:r>
        <w:rPr>
          <w:rFonts w:ascii="仿宋_GB2312" w:hAnsi="仿宋_GB2312" w:cs="仿宋_GB2312" w:eastAsia="仿宋_GB2312"/>
        </w:rPr>
        <w:t>联系电话：18182543666</w:t>
      </w:r>
    </w:p>
    <w:p>
      <w:pPr>
        <w:pStyle w:val="null3"/>
      </w:pPr>
      <w:r>
        <w:rPr>
          <w:rFonts w:ascii="仿宋_GB2312" w:hAnsi="仿宋_GB2312" w:cs="仿宋_GB2312" w:eastAsia="仿宋_GB2312"/>
        </w:rPr>
        <w:t>地址：西安市雁塔区西三爻村长丰园小区I区1幢C单元11层1110室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为进一步完善、优化教学资源，提高教育教学和教研效率，推进学科教学和信息技术整合，高效实现学校信息化和现代化，经校委会研究决定，拟购置21块电子智慧黑板。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乾县花口初级中学教学设备采购项目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标的名称：乾县花口初级中学教学设备采购项目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智慧黑板（21）台</w:t>
            </w:r>
            <w:r>
              <w:rPr>
                <w:rFonts w:ascii="仿宋_GB2312" w:hAnsi="仿宋_GB2312" w:cs="仿宋_GB2312" w:eastAsia="仿宋_GB2312"/>
                <w:sz w:val="19"/>
                <w:color w:val="000000"/>
              </w:rPr>
              <w:t>【核心产品】</w:t>
            </w:r>
          </w:p>
          <w:p>
            <w:pPr>
              <w:pStyle w:val="null3"/>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0"/>
                <w:color w:val="000000"/>
              </w:rPr>
              <w:t>2.中央主屏幕显示采用86英寸UHD超高清LED液晶屏，显示比例16:9，屏幕分辨率不低于3840*2160，具备防眩光效果。</w:t>
            </w:r>
            <w:r>
              <w:br/>
            </w:r>
            <w:r>
              <w:rPr>
                <w:rFonts w:ascii="仿宋_GB2312" w:hAnsi="仿宋_GB2312" w:cs="仿宋_GB2312" w:eastAsia="仿宋_GB2312"/>
                <w:sz w:val="20"/>
                <w:color w:val="000000"/>
              </w:rPr>
              <w:t>3.采用红外触控方式，支持40点或以上触控。</w:t>
            </w:r>
            <w:r>
              <w:br/>
            </w:r>
            <w:r>
              <w:rPr>
                <w:rFonts w:ascii="仿宋_GB2312" w:hAnsi="仿宋_GB2312" w:cs="仿宋_GB2312" w:eastAsia="仿宋_GB2312"/>
                <w:sz w:val="20"/>
                <w:color w:val="000000"/>
              </w:rPr>
              <w:t>4.整机内置2.2声道扬声器，位于设备上边框，额定总功率不低于60W。</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整机具有减滤蓝光功能，可通过前置面板物理功能按键一键启用护眼模式，让师生视力健康得到保障。</w:t>
            </w:r>
            <w:r>
              <w:br/>
            </w:r>
            <w:r>
              <w:rPr>
                <w:rFonts w:ascii="仿宋_GB2312" w:hAnsi="仿宋_GB2312" w:cs="仿宋_GB2312" w:eastAsia="仿宋_GB2312"/>
                <w:sz w:val="20"/>
                <w:color w:val="000000"/>
              </w:rPr>
              <w:t>6.设备支持通过前置物理按键一键启动录屏功能， 可将屏幕中显示的课件、音频内容与老师人声同时录制。</w:t>
            </w:r>
            <w:r>
              <w:br/>
            </w:r>
            <w:r>
              <w:rPr>
                <w:rFonts w:ascii="仿宋_GB2312" w:hAnsi="仿宋_GB2312" w:cs="仿宋_GB2312" w:eastAsia="仿宋_GB2312"/>
                <w:sz w:val="20"/>
                <w:color w:val="000000"/>
              </w:rPr>
              <w:t>7.整机内置非独立摄像头，采用一体化集成设计，可拍摄≥4950万像素数的照片。</w:t>
            </w:r>
          </w:p>
          <w:p>
            <w:pPr>
              <w:pStyle w:val="null3"/>
              <w:jc w:val="both"/>
            </w:pPr>
            <w:r>
              <w:rPr>
                <w:rFonts w:ascii="仿宋_GB2312" w:hAnsi="仿宋_GB2312" w:cs="仿宋_GB2312" w:eastAsia="仿宋_GB2312"/>
                <w:sz w:val="21"/>
              </w:rPr>
              <w:t>8.</w:t>
            </w:r>
            <w:r>
              <w:rPr>
                <w:rFonts w:ascii="仿宋_GB2312" w:hAnsi="仿宋_GB2312" w:cs="仿宋_GB2312" w:eastAsia="仿宋_GB2312"/>
                <w:sz w:val="20"/>
                <w:color w:val="000000"/>
              </w:rPr>
              <w:t>整机内置双</w:t>
            </w:r>
            <w:r>
              <w:rPr>
                <w:rFonts w:ascii="仿宋_GB2312" w:hAnsi="仿宋_GB2312" w:cs="仿宋_GB2312" w:eastAsia="仿宋_GB2312"/>
                <w:sz w:val="20"/>
                <w:color w:val="000000"/>
              </w:rPr>
              <w:t>WiFi6无线网卡。</w:t>
            </w:r>
            <w:r>
              <w:br/>
            </w:r>
            <w:r>
              <w:rPr>
                <w:rFonts w:ascii="仿宋_GB2312" w:hAnsi="仿宋_GB2312" w:cs="仿宋_GB2312" w:eastAsia="仿宋_GB2312"/>
                <w:sz w:val="20"/>
                <w:color w:val="000000"/>
              </w:rPr>
              <w:t>9.整机支持发出频率超声波信号。</w:t>
            </w:r>
            <w:r>
              <w:br/>
            </w:r>
            <w:r>
              <w:rPr>
                <w:rFonts w:ascii="仿宋_GB2312" w:hAnsi="仿宋_GB2312" w:cs="仿宋_GB2312" w:eastAsia="仿宋_GB2312"/>
                <w:sz w:val="20"/>
                <w:color w:val="000000"/>
              </w:rPr>
              <w:t>10.整机不低于支持蓝牙Bluetooth 5.4标准。</w:t>
            </w:r>
            <w:r>
              <w:br/>
            </w:r>
            <w:r>
              <w:rPr>
                <w:rFonts w:ascii="仿宋_GB2312" w:hAnsi="仿宋_GB2312" w:cs="仿宋_GB2312" w:eastAsia="仿宋_GB2312"/>
                <w:sz w:val="20"/>
                <w:color w:val="000000"/>
              </w:rPr>
              <w:t>11.嵌入式系统版本不低于Android 14。</w:t>
            </w:r>
            <w:r>
              <w:br/>
            </w:r>
            <w:r>
              <w:rPr>
                <w:rFonts w:ascii="仿宋_GB2312" w:hAnsi="仿宋_GB2312" w:cs="仿宋_GB2312" w:eastAsia="仿宋_GB2312"/>
                <w:sz w:val="20"/>
                <w:color w:val="000000"/>
              </w:rPr>
              <w:t>12.整机嵌入式芯片内置不低于1TOPS AI算力，可用于AI图像、音频处理。</w:t>
            </w:r>
          </w:p>
          <w:p>
            <w:pPr>
              <w:pStyle w:val="null3"/>
            </w:pPr>
            <w:r>
              <w:rPr>
                <w:rFonts w:ascii="仿宋_GB2312" w:hAnsi="仿宋_GB2312" w:cs="仿宋_GB2312" w:eastAsia="仿宋_GB2312"/>
                <w:sz w:val="20"/>
                <w:color w:val="000000"/>
              </w:rPr>
              <w:t>13.整机侧边栏内置朗读工具，通过整机麦克风内置音频检测算法监测教室中学生的朗读情况，以游戏化界面呈现朗读积极性，调动学生朗读兴趣。</w:t>
            </w:r>
            <w:r>
              <w:br/>
            </w:r>
            <w:r>
              <w:rPr>
                <w:rFonts w:ascii="仿宋_GB2312" w:hAnsi="仿宋_GB2312" w:cs="仿宋_GB2312" w:eastAsia="仿宋_GB2312"/>
                <w:sz w:val="20"/>
                <w:color w:val="000000"/>
              </w:rPr>
              <w:t>二、电脑配置</w:t>
            </w:r>
            <w:r>
              <w:br/>
            </w:r>
            <w:r>
              <w:rPr>
                <w:rFonts w:ascii="仿宋_GB2312" w:hAnsi="仿宋_GB2312" w:cs="仿宋_GB2312" w:eastAsia="仿宋_GB2312"/>
                <w:sz w:val="20"/>
                <w:color w:val="000000"/>
              </w:rPr>
              <w:t>14.采用抽拉内置式模块化电脑，抽拉内置式，PC模块可插入整机，可实现无单独接线的插拔。按压式卡扣方式，无需工具即可快速拆卸电脑模块。</w:t>
            </w:r>
            <w:r>
              <w:br/>
            </w:r>
            <w:r>
              <w:rPr>
                <w:rFonts w:ascii="仿宋_GB2312" w:hAnsi="仿宋_GB2312" w:cs="仿宋_GB2312" w:eastAsia="仿宋_GB2312"/>
                <w:sz w:val="20"/>
                <w:color w:val="000000"/>
              </w:rPr>
              <w:t>15.搭载不低于Intel 12代酷睿 i5CPU。内存：8GB DDR4笔记本内存或以上配置。硬盘：256GB SSD固态硬盘或以上配置。</w:t>
            </w:r>
            <w:r>
              <w:br/>
            </w:r>
            <w:r>
              <w:rPr>
                <w:rFonts w:ascii="仿宋_GB2312" w:hAnsi="仿宋_GB2312" w:cs="仿宋_GB2312" w:eastAsia="仿宋_GB2312"/>
                <w:sz w:val="20"/>
                <w:color w:val="000000"/>
              </w:rPr>
              <w:t>16.具有独立非外扩展的电脑USB接口：电脑上至少具备3个USB3.0 接口。</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白板软件</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备授课一体化，具有备课模式及授课模式，且操作界面</w:t>
            </w:r>
            <w:r>
              <w:rPr>
                <w:rFonts w:ascii="仿宋_GB2312" w:hAnsi="仿宋_GB2312" w:cs="仿宋_GB2312" w:eastAsia="仿宋_GB2312"/>
                <w:sz w:val="20"/>
                <w:color w:val="000000"/>
              </w:rPr>
              <w:t>根据备课和授课使用场景不同而区别设计，符合用户使用需求。</w:t>
            </w:r>
            <w:r>
              <w:br/>
            </w:r>
            <w:r>
              <w:rPr>
                <w:rFonts w:ascii="仿宋_GB2312" w:hAnsi="仿宋_GB2312" w:cs="仿宋_GB2312" w:eastAsia="仿宋_GB2312"/>
                <w:sz w:val="20"/>
                <w:color w:val="000000"/>
              </w:rPr>
              <w:t>2、电子白板软件提供至少三种登录方式，所有应用模块的入口均在统一界面上。</w:t>
            </w:r>
            <w:r>
              <w:br/>
            </w:r>
            <w:r>
              <w:rPr>
                <w:rFonts w:ascii="仿宋_GB2312" w:hAnsi="仿宋_GB2312" w:cs="仿宋_GB2312" w:eastAsia="仿宋_GB2312"/>
                <w:sz w:val="20"/>
                <w:color w:val="000000"/>
              </w:rPr>
              <w:t>3、支持用户在软件中打开pptx格式文件，且用户可在软件中自由编辑原文件中的图片、文字、表格等元素，并支持修改原文件中的动画。</w:t>
            </w:r>
            <w:r>
              <w:br/>
            </w:r>
            <w:r>
              <w:rPr>
                <w:rFonts w:ascii="仿宋_GB2312" w:hAnsi="仿宋_GB2312" w:cs="仿宋_GB2312" w:eastAsia="仿宋_GB2312"/>
                <w:sz w:val="20"/>
                <w:color w:val="000000"/>
              </w:rPr>
              <w:t>4、文本框：支持文本输入并可快速设置字体。</w:t>
            </w:r>
            <w:r>
              <w:br/>
            </w:r>
            <w:r>
              <w:rPr>
                <w:rFonts w:ascii="仿宋_GB2312" w:hAnsi="仿宋_GB2312" w:cs="仿宋_GB2312" w:eastAsia="仿宋_GB2312"/>
                <w:sz w:val="20"/>
                <w:color w:val="000000"/>
              </w:rPr>
              <w:t>5、多媒体导入：支持导入图片、音视频等多媒体文件供备课使用</w:t>
            </w:r>
            <w:r>
              <w:br/>
            </w:r>
            <w:r>
              <w:rPr>
                <w:rFonts w:ascii="仿宋_GB2312" w:hAnsi="仿宋_GB2312" w:cs="仿宋_GB2312" w:eastAsia="仿宋_GB2312"/>
                <w:sz w:val="20"/>
                <w:color w:val="000000"/>
              </w:rPr>
              <w:t>6、提供专门的白板软件手机版。</w:t>
            </w:r>
            <w:r>
              <w:br/>
            </w:r>
            <w:r>
              <w:rPr>
                <w:rFonts w:ascii="仿宋_GB2312" w:hAnsi="仿宋_GB2312" w:cs="仿宋_GB2312" w:eastAsia="仿宋_GB2312"/>
                <w:sz w:val="20"/>
                <w:color w:val="000000"/>
              </w:rPr>
              <w:t>7、支持通过U盘制作U盘钥匙快速登录账号，并同步云端课件。</w:t>
            </w:r>
            <w:r>
              <w:br/>
            </w:r>
            <w:r>
              <w:rPr>
                <w:rFonts w:ascii="仿宋_GB2312" w:hAnsi="仿宋_GB2312" w:cs="仿宋_GB2312" w:eastAsia="仿宋_GB2312"/>
                <w:sz w:val="20"/>
                <w:color w:val="000000"/>
              </w:rPr>
              <w:t>8、提供教学设计功能，支持教师根据教学需要自主添加课堂活动。</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分组竞争游戏：支持创建分组竞争游戏，教师可设置正确项／干扰项，让两组学生开展竞争游戏。</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支持在备授课软件中一键录制教学小视频。</w:t>
            </w:r>
            <w:r>
              <w:br/>
            </w:r>
            <w:r>
              <w:rPr>
                <w:rFonts w:ascii="仿宋_GB2312" w:hAnsi="仿宋_GB2312" w:cs="仿宋_GB2312" w:eastAsia="仿宋_GB2312"/>
                <w:sz w:val="20"/>
                <w:color w:val="000000"/>
              </w:rPr>
              <w:t>12、思维导图总结联系。</w:t>
            </w:r>
            <w:r>
              <w:br/>
            </w:r>
            <w:r>
              <w:rPr>
                <w:rFonts w:ascii="仿宋_GB2312" w:hAnsi="仿宋_GB2312" w:cs="仿宋_GB2312" w:eastAsia="仿宋_GB2312"/>
                <w:sz w:val="20"/>
                <w:color w:val="000000"/>
              </w:rPr>
              <w:t>13、AI智能英语听写工具。</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视频展台（21台）</w:t>
            </w:r>
          </w:p>
          <w:p>
            <w:pPr>
              <w:pStyle w:val="null3"/>
            </w:pPr>
            <w:r>
              <w:rPr>
                <w:rFonts w:ascii="仿宋_GB2312" w:hAnsi="仿宋_GB2312" w:cs="仿宋_GB2312" w:eastAsia="仿宋_GB2312"/>
                <w:sz w:val="20"/>
                <w:color w:val="000000"/>
              </w:rPr>
              <w:t>1.图像像素：≥800万像素</w:t>
            </w:r>
            <w:r>
              <w:br/>
            </w:r>
            <w:r>
              <w:rPr>
                <w:rFonts w:ascii="仿宋_GB2312" w:hAnsi="仿宋_GB2312" w:cs="仿宋_GB2312" w:eastAsia="仿宋_GB2312"/>
                <w:sz w:val="20"/>
                <w:color w:val="000000"/>
              </w:rPr>
              <w:t>2.图像传感器：不低于1/2.5英寸CMOS专业图像传感器</w:t>
            </w:r>
            <w:r>
              <w:br/>
            </w:r>
            <w:r>
              <w:rPr>
                <w:rFonts w:ascii="仿宋_GB2312" w:hAnsi="仿宋_GB2312" w:cs="仿宋_GB2312" w:eastAsia="仿宋_GB2312"/>
                <w:sz w:val="20"/>
                <w:color w:val="000000"/>
              </w:rPr>
              <w:t>3.USB接口，USB直接供电和传输数据，节能环保</w:t>
            </w:r>
            <w:r>
              <w:br/>
            </w:r>
            <w:r>
              <w:rPr>
                <w:rFonts w:ascii="仿宋_GB2312" w:hAnsi="仿宋_GB2312" w:cs="仿宋_GB2312" w:eastAsia="仿宋_GB2312"/>
                <w:sz w:val="20"/>
                <w:color w:val="000000"/>
              </w:rPr>
              <w:t>4.支持幅面：≥A4</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乾县花口初级中学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安装调试完毕，验收合格后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硬件（智慧黑板）参数功能、安装规范达标；服务履约到位，系统安全合规；全部指标满足为合格。验收方法：供应商提交验收申请后，通过资料核查、外观及安装检查、功能测试、系统整合测试完成验收；分初步验收、试运行（30 日历天）、最终验收流程；不合格项限期整改复验。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违约方承担违约金及实际损失赔偿；争议先协商，协商不成提交项目所在地仲裁委员会仲裁或向法院起诉。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是指设备到达使用地点、验收合格达到正常使用条件前的所有费用，包括但不限于以下费用：货物价值、安装调试费、运杂费（含保险）、仓储保管费、技术培训费、检测费、施工费、人工费等及按国家政策征收的一切税费等。 （2）为顺利推进政府采购电子化交易平台应用工作，供应商需要在线提交所有通过电子化交易平台实施的政府采购项目的投标文件，同时，线下提交投标文件正本壹份、副本贰份、电子版壹份（U盘1个，包含word、PDF格式投标文件所有内容），全部纸质、电子版资料统一密封在一个密封袋中。若电子化交易平台文件与纸质投标文件不一致的，以电子化交易平台文件为准。线下递交文件时间与线上投标文件提交截止时间一致；线下递交文件地点：西安市雁塔区西三爻村长丰园小区I区1幢C单元11层1110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供应商应提供2024年度的财务报告（至少包括财务报告、资产负债表、利润表（或损益表）、现金流量表，成立时间至提交投标文件截止时间不足一年的可提供成立后任意时段的资产负债表），或 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供应商应为具有独立承担民事责任能力的企业法人、事业法人、其他组织或自然人</w:t>
            </w:r>
          </w:p>
        </w:tc>
        <w:tc>
          <w:tcPr>
            <w:tcW w:type="dxa" w:w="3322"/>
          </w:tcPr>
          <w:p>
            <w:pPr>
              <w:pStyle w:val="null3"/>
            </w:pPr>
            <w:r>
              <w:rPr>
                <w:rFonts w:ascii="仿宋_GB2312" w:hAnsi="仿宋_GB2312" w:cs="仿宋_GB2312" w:eastAsia="仿宋_GB2312"/>
              </w:rPr>
              <w:t>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w:t>
            </w:r>
          </w:p>
        </w:tc>
        <w:tc>
          <w:tcPr>
            <w:tcW w:type="dxa" w:w="3322"/>
          </w:tcPr>
          <w:p>
            <w:pPr>
              <w:pStyle w:val="null3"/>
            </w:pPr>
            <w:r>
              <w:rPr>
                <w:rFonts w:ascii="仿宋_GB2312" w:hAnsi="仿宋_GB2312" w:cs="仿宋_GB2312" w:eastAsia="仿宋_GB2312"/>
              </w:rPr>
              <w:t>供应商需提2024年度的财务报告（至少包括财务报告、资产负债表、利润表（或损益表）、现金流量表，成立时间至递交投标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供应商提供投标文件递交截止时间前六个月内任意一月已缴纳的纳税证明或完税证明，依法免税的供应商应提供相关证明文件。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供应商提供投标文件递交截止时间前六个月内任意一月已缴存的社会保障资金缴费证明或参保证明，依法不需要缴纳社会保障资金的供应商应提供相关证明文件。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供应商应具有履行合同所必需的设备和专业技术能力，提供承诺书。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本项目不接受联合体，提供非联合体投标声明。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开标一览表附表.docx 标的清单（分项报价表）.docx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技术响应.docx 开标一览表 产品渠道.docx 培训方案.docx 质量保证.docx 投标人应提交的相关资格证明材料.docx 商务响应偏离表.docx 投标函 售后服务.docx 开标一览表附表.docx 标的清单（分项报价表）.docx 技术响应偏离表.docx 标的清单 投标文件封面 实施方案.docx 节能环保、环境标志产品明细表.docx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投标文件格式中要求法定代表人或被授权人的签字处，签字齐全，响应文件加盖电子印章。</w:t>
            </w:r>
          </w:p>
        </w:tc>
        <w:tc>
          <w:tcPr>
            <w:tcW w:type="dxa" w:w="1661"/>
          </w:tcPr>
          <w:p>
            <w:pPr>
              <w:pStyle w:val="null3"/>
            </w:pPr>
            <w:r>
              <w:rPr>
                <w:rFonts w:ascii="仿宋_GB2312" w:hAnsi="仿宋_GB2312" w:cs="仿宋_GB2312" w:eastAsia="仿宋_GB2312"/>
              </w:rPr>
              <w:t>技术响应.docx 开标一览表 产品渠道.docx 培训方案.docx 质量保证.docx 投标人应提交的相关资格证明材料.docx 商务响应偏离表.docx 投标函 售后服务.docx 开标一览表附表.docx 标的清单（分项报价表）.docx 技术响应偏离表.docx 标的清单 投标文件封面 实施方案.docx 节能环保、环境标志产品明细表.docx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投标报价不超过采购预算或最高限价</w:t>
            </w:r>
          </w:p>
        </w:tc>
        <w:tc>
          <w:tcPr>
            <w:tcW w:type="dxa" w:w="1661"/>
          </w:tcPr>
          <w:p>
            <w:pPr>
              <w:pStyle w:val="null3"/>
            </w:pPr>
            <w:r>
              <w:rPr>
                <w:rFonts w:ascii="仿宋_GB2312" w:hAnsi="仿宋_GB2312" w:cs="仿宋_GB2312" w:eastAsia="仿宋_GB2312"/>
              </w:rPr>
              <w:t>开标一览表 开标一览表附表.docx 标的清单（分项报价表）.docx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商务响应偏离表.docx 技术响应偏离表.docx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 后 服 务</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及保障措施②售后服务流程③售后服务响应时间及响应方式；并按以下标准评审：二、评审标准1、完整性：方案须全面，对评审内容中的各项要求有详细描述；2、可实施性：切合本项目实际 情况，实施步骤清晰、合理；3、针对性：方案能够紧扣项目实际情况，内容科学合理。 三、赋分依据（满分9分）①售后服务范围及保障措施：每完全满足一个评审标准得1分，不完全满足一个评审标准有瑕疵得0.5分，满分3分，未提供不得分；②售后服务流程：每完全 满足一个评审标准得1分，不完全满足一个评审标准有瑕疵得0.5分，满分3分，未提供不得分；③售后服务响应时间及响应方式：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培 训 方 案</w:t>
            </w:r>
          </w:p>
        </w:tc>
        <w:tc>
          <w:tcPr>
            <w:tcW w:type="dxa" w:w="2492"/>
          </w:tcPr>
          <w:p>
            <w:pPr>
              <w:pStyle w:val="null3"/>
            </w:pPr>
            <w:r>
              <w:rPr>
                <w:rFonts w:ascii="仿宋_GB2312" w:hAnsi="仿宋_GB2312" w:cs="仿宋_GB2312" w:eastAsia="仿宋_GB2312"/>
              </w:rPr>
              <w:t>一、评审内容根据项目实际需求提供培训方案。内容包含：①培训方式、培训时间安排②培训范围及内容；并按以下标准评审：二、评审标准1、完整性：方案须全面，对评审内容中的各项要求有详细描述；2、可实施性：切合本项目实际情况，实施步骤清晰、合理；3、针对性：方案能够紧扣项目实际情况，内容科学合理。 三、赋分依据（满分6分）①培训方式、培训时间安排：每完全满足一个评审标准得1分，不完全满足一个评审标准有瑕疵得0.5分，满分3分，未提供不得分；②培训范围及内容：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技 术 响 应</w:t>
            </w:r>
          </w:p>
        </w:tc>
        <w:tc>
          <w:tcPr>
            <w:tcW w:type="dxa" w:w="2492"/>
          </w:tcPr>
          <w:p>
            <w:pPr>
              <w:pStyle w:val="null3"/>
            </w:pPr>
            <w:r>
              <w:rPr>
                <w:rFonts w:ascii="仿宋_GB2312" w:hAnsi="仿宋_GB2312" w:cs="仿宋_GB2312" w:eastAsia="仿宋_GB2312"/>
              </w:rPr>
              <w:t>评标委员会将根据投标文件中对技术部分的应答，并结合投标人提供的佐证资料等（佐证材料例如：国家认可的检测机构出具的检测报告、制造商检验报告、产品彩页、官网功能截图等任意一种），对技术部分进行综合评价。 投标人所投产品的技术参数和性能要求完全满足招标文件要求的得30分，负偏离每项扣 0.5分，扣完为止。 注：1、完全复制招标文件技术指标要求的，给予10分扣分。 2、若佐证材料低于招标文件规定的相应技术指标、参数时视为负偏离。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产 品 渠 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提供所投产品的合法来源渠道证明文件（包括但不限于产品制造商授权、销售协议、代理协议等），每提供一个产品计0.5分，满分2分，未提供不计分。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实 施 方 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投标人需针对本项目提供完整的项目实施方案。内容包含：①供货方案；②运输、包装方案；③安装、调试方案；④质量保障方案；⑤进度保障方案；并按照以下标准评审： 二、评审标准 1、完整性：方案须全面，对评审内容中的各项要求描述详细； 2、可实施性：切合本项目实际情况，实施步骤清晰、合理； 3、针对性：方案能够紧扣项目实际情况，内容科学合理。 三、赋分依据（满分15分） ①供货方案：每完全满足一个评审标准得1分，不完全满足一个评审标准有瑕疵得0.5分，满分3分；未提供不得分； ②运输、包装方案：每完全满足一个评审标准得1分，不完全满足一个评审标准有瑕疵得0.5分，满分3分；未提供不得分； ③安装、调试方案：每完全满足一个评审标准得1分，不完全满足一个评审标准有瑕疵得0.5分，满分3分；未提供不得分； ④质量保障方案：每完全满足一个评审标准得1分，不完全满足一个评审标准有瑕疵得0.5分，满分3分；未提供不得分； ⑤进度保障方案：每完全满足一个评审标准得1分，不完全满足一个评审标准有瑕疵得0.5分，满分3分；未提供不得分。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质 量 保 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三、赋分依据（满分6分）①产品性能、使用寿命及效果：每完全满足一个评审标准得1分，不完全满足一个评审标准有瑕疵得0.5分，满分3分；未提供不得分； ②质量保证措施:每完全满足一个评审标准得1分，不完全满足一个评审标准有瑕疵得0.5分，满分3分；未提供不得分。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节 能 环 保</w:t>
            </w:r>
          </w:p>
        </w:tc>
        <w:tc>
          <w:tcPr>
            <w:tcW w:type="dxa" w:w="2492"/>
          </w:tcPr>
          <w:p>
            <w:pPr>
              <w:pStyle w:val="null3"/>
            </w:pPr>
            <w:r>
              <w:rPr>
                <w:rFonts w:ascii="仿宋_GB2312" w:hAnsi="仿宋_GB2312" w:cs="仿宋_GB2312" w:eastAsia="仿宋_GB2312"/>
              </w:rPr>
              <w:t>所投产品属于《节能产品政府采购 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投标报价得分=（评标基准价/投标报价）×价格权值×100（因落实政府采购政策进行价格调整的，以调整后的价格计算评标基准价和投标报价）注：计算分数时四舍五入取小数点后两位。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开标一览表附表.docx</w:t>
            </w:r>
          </w:p>
          <w:p>
            <w:pPr>
              <w:pStyle w:val="null3"/>
            </w:pPr>
            <w:r>
              <w:rPr>
                <w:rFonts w:ascii="仿宋_GB2312" w:hAnsi="仿宋_GB2312" w:cs="仿宋_GB2312" w:eastAsia="仿宋_GB2312"/>
              </w:rPr>
              <w:t>标的清单（分项报价表）.docx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开标一览表附表.docx</w:t>
            </w:r>
          </w:p>
          <w:p>
            <w:pPr>
              <w:pStyle w:val="null3"/>
            </w:pPr>
            <w:r>
              <w:rPr>
                <w:rFonts w:ascii="仿宋_GB2312" w:hAnsi="仿宋_GB2312" w:cs="仿宋_GB2312" w:eastAsia="仿宋_GB2312"/>
              </w:rPr>
              <w:t>标的清单（分项报价表）.docx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详见附件：开标一览表附表.docx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详见附件：标的清单（分项报价表）.docx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