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版本号：LYHJ-ZB-07020251207001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乾县大杨镇产业强镇中巷村新建大棚及旧棚改造项目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LYHJ-ZB-070</w:t>
      </w:r>
      <w:r>
        <w:br/>
      </w:r>
      <w:r>
        <w:br/>
      </w:r>
      <w:r>
        <w:br/>
      </w:r>
    </w:p>
    <w:p>
      <w:pPr>
        <w:pStyle w:val="null3"/>
        <w:jc w:val="center"/>
        <w:outlineLvl w:val="2"/>
      </w:pPr>
      <w:r>
        <w:rPr>
          <w:rFonts w:ascii="仿宋_GB2312" w:hAnsi="仿宋_GB2312" w:cs="仿宋_GB2312" w:eastAsia="仿宋_GB2312"/>
          <w:sz w:val="28"/>
          <w:b/>
        </w:rPr>
        <w:t>乾县大杨镇人民政府</w:t>
      </w:r>
    </w:p>
    <w:p>
      <w:pPr>
        <w:pStyle w:val="null3"/>
        <w:jc w:val="center"/>
        <w:outlineLvl w:val="2"/>
      </w:pPr>
      <w:r>
        <w:rPr>
          <w:rFonts w:ascii="仿宋_GB2312" w:hAnsi="仿宋_GB2312" w:cs="仿宋_GB2312" w:eastAsia="仿宋_GB2312"/>
          <w:sz w:val="28"/>
          <w:b/>
        </w:rPr>
        <w:t>陕西朗屹恒基项目咨询管理有限公司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陕西朗屹恒基项目咨询管理有限公司</w:t>
      </w:r>
      <w:r>
        <w:rPr>
          <w:rFonts w:ascii="仿宋_GB2312" w:hAnsi="仿宋_GB2312" w:cs="仿宋_GB2312" w:eastAsia="仿宋_GB2312"/>
        </w:rPr>
        <w:t>（以下简称“代理机构”）受</w:t>
      </w:r>
      <w:r>
        <w:rPr>
          <w:rFonts w:ascii="仿宋_GB2312" w:hAnsi="仿宋_GB2312" w:cs="仿宋_GB2312" w:eastAsia="仿宋_GB2312"/>
        </w:rPr>
        <w:t>乾县大杨镇人民政府</w:t>
      </w:r>
      <w:r>
        <w:rPr>
          <w:rFonts w:ascii="仿宋_GB2312" w:hAnsi="仿宋_GB2312" w:cs="仿宋_GB2312" w:eastAsia="仿宋_GB2312"/>
        </w:rPr>
        <w:t>委托，拟对</w:t>
      </w:r>
      <w:r>
        <w:rPr>
          <w:rFonts w:ascii="仿宋_GB2312" w:hAnsi="仿宋_GB2312" w:cs="仿宋_GB2312" w:eastAsia="仿宋_GB2312"/>
        </w:rPr>
        <w:t>乾县大杨镇产业强镇中巷村新建大棚及旧棚改造项目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LYHJ-ZB-070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乾县大杨镇产业强镇中巷村新建大棚及旧棚改造项目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提升本地蔬菜品质，增加优质蔬菜产量，增强经济效益，提高村民生活质量，助力乡村振兴，特实施本项目，主要实施内容有：新建一批蔬菜大棚及老旧大棚改造，蔬菜大棚主骨架3100副、立柱630根、棚膜45000㎡等配套设施改造实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采购包1（乾县大杨镇产业强镇中巷村新建大棚及旧棚改造项目）：属于专门面向中小企业采购。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1、授权委托：非法人参加磋商，须出具法定代表人授权书（附法定代表人、被授权人身份证复印件）及授权代表身份证；法定代表人参加磋商的，须提供法定代表人身份证明书及身份证。</w:t>
      </w:r>
    </w:p>
    <w:p>
      <w:pPr>
        <w:pStyle w:val="null3"/>
      </w:pPr>
      <w:r>
        <w:rPr>
          <w:rFonts w:ascii="仿宋_GB2312" w:hAnsi="仿宋_GB2312" w:cs="仿宋_GB2312" w:eastAsia="仿宋_GB2312"/>
        </w:rPr>
        <w:t>2、信用查询：供应商不得为“信用中国”网站（www.creditchina.gov.cn）中列入失信被执行人和重大税收违法失信主体名单的供应商，不得为中国政府采购网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3、企业关联声明：单位负责人为同一人或者存在直接控股、管理关系的不同投标人，不得参加同一招标项目的投标活动。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乾县大杨镇人民政府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乾县大杨镇王乐街道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邓镇长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029-35512628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陕西朗屹恒基项目咨询管理有限公司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陕西省咸阳市秦都区滨河西路5号咸阳非金属矿研究设计院院内办公楼8楼中段中户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19299397951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吴翼臻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成交金额，参照国家计委2002年颁发的《招标代理服务收费管理暂行办法》(计价格〔2002〕1980号)及《调整后的招标代理服务收费标准》(发改价格〔2011〕534号)的规定收取，代理服务费由成交单位在领取成交通知书前向代理公司支付。 户名：陕西朗屹恒基项目咨询管理有限公司 开户行：中国农业银行咸阳中华广场支行 账号：26475001040028833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乾县大杨镇人民政府</w:t>
      </w:r>
      <w:r>
        <w:rPr>
          <w:rFonts w:ascii="仿宋_GB2312" w:hAnsi="仿宋_GB2312" w:cs="仿宋_GB2312" w:eastAsia="仿宋_GB2312"/>
        </w:rPr>
        <w:t>和</w:t>
      </w:r>
      <w:r>
        <w:rPr>
          <w:rFonts w:ascii="仿宋_GB2312" w:hAnsi="仿宋_GB2312" w:cs="仿宋_GB2312" w:eastAsia="仿宋_GB2312"/>
        </w:rPr>
        <w:t>陕西朗屹恒基项目咨询管理有限公司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乾县大杨镇人民政府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陕西朗屹恒基项目咨询管理有限公司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乾县大杨镇人民政府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陕西朗屹恒基项目咨询管理有限公司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达到国家及相关行业规范合格标准，满足采购人要求。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陕西朗屹恒基项目咨询管理有限公司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陕西朗屹恒基项目咨询管理有限公司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陕西朗屹恒基项目咨询管理有限公司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联系人：刘乐</w:t>
      </w:r>
    </w:p>
    <w:p>
      <w:pPr>
        <w:pStyle w:val="null3"/>
      </w:pPr>
      <w:r>
        <w:rPr>
          <w:rFonts w:ascii="仿宋_GB2312" w:hAnsi="仿宋_GB2312" w:cs="仿宋_GB2312" w:eastAsia="仿宋_GB2312"/>
        </w:rPr>
        <w:t>联系电话：19299397951</w:t>
      </w:r>
    </w:p>
    <w:p>
      <w:pPr>
        <w:pStyle w:val="null3"/>
      </w:pPr>
      <w:r>
        <w:rPr>
          <w:rFonts w:ascii="仿宋_GB2312" w:hAnsi="仿宋_GB2312" w:cs="仿宋_GB2312" w:eastAsia="仿宋_GB2312"/>
        </w:rPr>
        <w:t>地址：咸阳市秦都区滨河西路5号咸阳非金属矿研究设计院院内办公楼8楼中段中户</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本地蔬菜品质，增加优质蔬菜产量，增强经济效益，提高村民生活质量，助力乡村振兴，特实施本项目，主要实施内容有：新建一批蔬菜大棚及老旧大棚改造，蔬菜大棚主骨架3100副、立柱630根、棚膜45000㎡等配套设施改造实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乾县大杨镇产业强镇中巷村新建大棚及旧棚改造项目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标的名称：乾县大杨镇产业强镇中巷村新建大棚及旧棚改造项目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1、采购项目概况：乾县大杨镇产业强镇中巷村新建大棚及旧棚改造项目位于乾县大杨镇中巷村，该项目要采购用于蔬菜大棚建设及老旧大棚改造。</w:t>
            </w:r>
          </w:p>
          <w:p>
            <w:pPr>
              <w:pStyle w:val="null3"/>
            </w:pPr>
            <w:r>
              <w:rPr>
                <w:rFonts w:ascii="仿宋_GB2312" w:hAnsi="仿宋_GB2312" w:cs="仿宋_GB2312" w:eastAsia="仿宋_GB2312"/>
              </w:rPr>
              <w:t>2、交货期：合同签订后15日历天。</w:t>
            </w:r>
          </w:p>
          <w:p>
            <w:pPr>
              <w:pStyle w:val="null3"/>
            </w:pPr>
            <w:r>
              <w:rPr>
                <w:rFonts w:ascii="仿宋_GB2312" w:hAnsi="仿宋_GB2312" w:cs="仿宋_GB2312" w:eastAsia="仿宋_GB2312"/>
              </w:rPr>
              <w:t>3、质量标准及技术要求：符合国家及行业相关规范合格标准，且满足采购人要求。</w:t>
            </w:r>
          </w:p>
          <w:p>
            <w:pPr>
              <w:pStyle w:val="null3"/>
            </w:pPr>
            <w:r>
              <w:rPr>
                <w:rFonts w:ascii="仿宋_GB2312" w:hAnsi="仿宋_GB2312" w:cs="仿宋_GB2312" w:eastAsia="仿宋_GB2312"/>
              </w:rPr>
              <w:t>4、售后服务要求：质保两年，质保范围为本采购清单中所有主体结构和棚膜（具体以双方签订的合同为准）。质保期内，对于非人为原因引起的质量瑕疵或损坏，维修费用由供应商承担。</w:t>
            </w:r>
          </w:p>
          <w:p>
            <w:pPr>
              <w:pStyle w:val="null3"/>
            </w:pPr>
            <w:r>
              <w:rPr>
                <w:rFonts w:ascii="仿宋_GB2312" w:hAnsi="仿宋_GB2312" w:cs="仿宋_GB2312" w:eastAsia="仿宋_GB2312"/>
              </w:rPr>
              <w:t>5、商务要求（包装和运输、保险等）：应采取防潮、防晒、防腐蚀、防震动及防止其它损坏的必要措施。供应商应承担由于其包装或防护措施不妥而引起的材料锈蚀、损坏和丢失等任何损失造成的责任或费用。运输由投标人负责，运杂费已包含在合同总价内，选择运输风险小、运费低、距离短的运输路线，运杂费一次包死在总价内，包括人工费、材料费、运输费、安装费、缺陷修复费、利润、全部风险费及规费、税金等政策性文件规定的所有费用，各投标人报价时应综合考虑，一经成交，采购人不再额外支付其他相关费用。</w:t>
            </w:r>
          </w:p>
          <w:p>
            <w:pPr>
              <w:pStyle w:val="null3"/>
            </w:pPr>
            <w:r>
              <w:rPr>
                <w:rFonts w:ascii="仿宋_GB2312" w:hAnsi="仿宋_GB2312" w:cs="仿宋_GB2312" w:eastAsia="仿宋_GB2312"/>
              </w:rPr>
              <w:t>6、采购清单：</w:t>
            </w:r>
          </w:p>
          <w:tbl>
            <w:tblPr>
              <w:tblBorders>
                <w:top w:val="single"/>
                <w:left w:val="single"/>
                <w:bottom w:val="single"/>
                <w:right w:val="single"/>
                <w:insideH w:val="single"/>
                <w:insideV w:val="single"/>
              </w:tblBorders>
            </w:tblPr>
            <w:tblGrid>
              <w:gridCol w:w="206"/>
              <w:gridCol w:w="596"/>
              <w:gridCol w:w="367"/>
              <w:gridCol w:w="524"/>
              <w:gridCol w:w="192"/>
              <w:gridCol w:w="260"/>
              <w:gridCol w:w="403"/>
            </w:tblGrid>
            <w:tr>
              <w:tc>
                <w:tcPr>
                  <w:tcW w:type="dxa" w:w="2548"/>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中巷村新建大棚及旧棚改造清单</w:t>
                  </w:r>
                </w:p>
              </w:tc>
            </w:tr>
            <w:tr>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5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项目名称</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材质</w:t>
                  </w:r>
                </w:p>
              </w:tc>
              <w:tc>
                <w:tcPr>
                  <w:tcW w:type="dxa" w:w="5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材料规格参数</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4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备注</w:t>
                  </w:r>
                </w:p>
              </w:tc>
            </w:tr>
            <w:tr>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蔬菜大棚主骨架▲</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镀锌管</w:t>
                  </w:r>
                </w:p>
              </w:tc>
              <w:tc>
                <w:tcPr>
                  <w:tcW w:type="dxa" w:w="5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25*50*1.5*6.5米</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副</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2600</w:t>
                  </w:r>
                </w:p>
              </w:tc>
              <w:tc>
                <w:tcPr>
                  <w:tcW w:type="dxa" w:w="40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旧棚改造主骨架▲</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镀锌管</w:t>
                  </w:r>
                </w:p>
              </w:tc>
              <w:tc>
                <w:tcPr>
                  <w:tcW w:type="dxa" w:w="5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32*1.5*6米</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副</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w:t>
                  </w:r>
                </w:p>
              </w:tc>
              <w:tc>
                <w:tcPr>
                  <w:tcW w:type="dxa" w:w="40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连接拉杆</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镀锌管</w:t>
                  </w:r>
                </w:p>
              </w:tc>
              <w:tc>
                <w:tcPr>
                  <w:tcW w:type="dxa" w:w="5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25*1.2*6米</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2300</w:t>
                  </w:r>
                </w:p>
              </w:tc>
              <w:tc>
                <w:tcPr>
                  <w:tcW w:type="dxa" w:w="40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棚膜▲</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PO膜</w:t>
                  </w:r>
                </w:p>
              </w:tc>
              <w:tc>
                <w:tcPr>
                  <w:tcW w:type="dxa" w:w="5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10丝PO膜</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42000</w:t>
                  </w:r>
                </w:p>
              </w:tc>
              <w:tc>
                <w:tcPr>
                  <w:tcW w:type="dxa" w:w="40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立柱▲</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镀锌管</w:t>
                  </w:r>
                </w:p>
              </w:tc>
              <w:tc>
                <w:tcPr>
                  <w:tcW w:type="dxa" w:w="5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32*1.5*6米</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660</w:t>
                  </w:r>
                </w:p>
              </w:tc>
              <w:tc>
                <w:tcPr>
                  <w:tcW w:type="dxa" w:w="40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卷杆</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镀锌管</w:t>
                  </w:r>
                </w:p>
              </w:tc>
              <w:tc>
                <w:tcPr>
                  <w:tcW w:type="dxa" w:w="5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25*1.5*6米</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1500</w:t>
                  </w:r>
                </w:p>
              </w:tc>
              <w:tc>
                <w:tcPr>
                  <w:tcW w:type="dxa" w:w="40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5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卡槽+卡簧</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w:t>
                  </w:r>
                </w:p>
              </w:tc>
              <w:tc>
                <w:tcPr>
                  <w:tcW w:type="dxa" w:w="5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0.7</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15000</w:t>
                  </w:r>
                </w:p>
              </w:tc>
              <w:tc>
                <w:tcPr>
                  <w:tcW w:type="dxa" w:w="40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5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卷膜器</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铁质</w:t>
                  </w:r>
                </w:p>
              </w:tc>
              <w:tc>
                <w:tcPr>
                  <w:tcW w:type="dxa" w:w="5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w:t>
                  </w:r>
                </w:p>
              </w:tc>
              <w:tc>
                <w:tcPr>
                  <w:tcW w:type="dxa" w:w="40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5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压膜线</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尼龙绳</w:t>
                  </w:r>
                </w:p>
              </w:tc>
              <w:tc>
                <w:tcPr>
                  <w:tcW w:type="dxa" w:w="5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3cm宽</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52000</w:t>
                  </w:r>
                </w:p>
              </w:tc>
              <w:tc>
                <w:tcPr>
                  <w:tcW w:type="dxa" w:w="40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5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棚门</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镀锌管焊接</w:t>
                  </w:r>
                </w:p>
              </w:tc>
              <w:tc>
                <w:tcPr>
                  <w:tcW w:type="dxa" w:w="5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2*2米</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c>
                <w:tcPr>
                  <w:tcW w:type="dxa" w:w="40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5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地锚</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钢丝</w:t>
                  </w:r>
                </w:p>
              </w:tc>
              <w:tc>
                <w:tcPr>
                  <w:tcW w:type="dxa" w:w="5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φ1.5</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6000</w:t>
                  </w:r>
                </w:p>
              </w:tc>
              <w:tc>
                <w:tcPr>
                  <w:tcW w:type="dxa" w:w="40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5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膜卡</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塑料</w:t>
                  </w:r>
                </w:p>
              </w:tc>
              <w:tc>
                <w:tcPr>
                  <w:tcW w:type="dxa" w:w="5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φ25</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7000</w:t>
                  </w:r>
                </w:p>
              </w:tc>
              <w:tc>
                <w:tcPr>
                  <w:tcW w:type="dxa" w:w="40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5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燕尾丝</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合成钢</w:t>
                  </w:r>
                </w:p>
              </w:tc>
              <w:tc>
                <w:tcPr>
                  <w:tcW w:type="dxa" w:w="5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M5.5*25</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盒</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350</w:t>
                  </w:r>
                </w:p>
              </w:tc>
              <w:tc>
                <w:tcPr>
                  <w:tcW w:type="dxa" w:w="40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5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红砖</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黏土砖</w:t>
                  </w:r>
                </w:p>
              </w:tc>
              <w:tc>
                <w:tcPr>
                  <w:tcW w:type="dxa" w:w="5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12*24</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5900</w:t>
                  </w:r>
                </w:p>
              </w:tc>
              <w:tc>
                <w:tcPr>
                  <w:tcW w:type="dxa" w:w="40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5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椭圆卡</w:t>
                  </w:r>
                </w:p>
              </w:tc>
              <w:tc>
                <w:tcPr>
                  <w:tcW w:type="dxa" w:w="3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镀锌件</w:t>
                  </w:r>
                </w:p>
              </w:tc>
              <w:tc>
                <w:tcPr>
                  <w:tcW w:type="dxa" w:w="5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25*80*1.5</w:t>
                  </w:r>
                </w:p>
              </w:tc>
              <w:tc>
                <w:tcPr>
                  <w:tcW w:type="dxa" w:w="1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10000</w:t>
                  </w:r>
                </w:p>
              </w:tc>
              <w:tc>
                <w:tcPr>
                  <w:tcW w:type="dxa" w:w="403"/>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乾县大杨镇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项目履约验收完成后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质保两年，质保范围为本采购清单中所有主体结构和棚膜（具体以双方签订的合同为准）。质保期内，对于非人为原因引起的质量瑕疵或损坏，维修费用由供应商承担。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进行服务的，采购人有权终止合同，并对服务方违约行为进行追究，同时按《中华人民共和国政府采购法》的有关规定进行处罚。3.根据具体违约和争议内容协商，若协商未果，可向项目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供应商需在项目电子化交易系统中按要求填写《投标函》完成承诺并进行电子签章。并提供以下证明资料： 1.具有独立承担民事责任能力的法人、其他组织或自然人，并出具合法有效的营业执照或事业单位法人证书等国家规定的相关证明，自然人参与的提供其身份证明； 2.税收缴纳证明：提供开标截止时间前半年内已缴纳的至少一个月的纳税证明或完税证明（任意税种），依法免税的单位应提供相关证明材料； 3.社会保障资金缴纳证明：提供开标截止时间前半年内已缴存的至少一个月的社会保障资金缴存凭证或社保机构开具的社会保险参保证明，依法不需要缴纳社会保障资金的单位应提供相关证明材料； 4.承诺声明：提供具有履行合同所必需的设备和专业技术能力的承诺声明； 5.书面声明：提供参加政府采购活动前 3 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 供应商拒绝贿赂承诺书.docx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并提供经审计的完整的2024年度财务报告（成立时间至竞争性磋商响应文件递交截止时间不足一年的，可提供成立后任意时段的资产负债表），或竞争性磋商响应文件递交截止时间前三个月内其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非法人参加磋商，须出具法定代表人授权书（附法定代表人、被授权人身份证复印件）及授权代表身份证；法定代表人参加磋商的，须提供法定代表人身份证明书及身份证。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供应商应提交的相关资格证明材料.docx 偏离表.docx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报价一览表.docx 售后服务方案.docx 分项报价表.docx 供应商应提交的相关资格证明材料.docx 投标函 供应商类似项目业绩一览表.docx 项目进度保障措施.docx 供应商拒绝贿赂承诺书.docx 标的清单 投标文件封面 项目总体实施方案.docx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投标报价符合唯一性要求、报价货币符合招标文件要求、未出现漏报、未超出采购预算和招标文件规定的最高限价；只能有一个有效报价，不得提交选择性报价。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满足招标文件中的要求。</w:t>
            </w:r>
          </w:p>
        </w:tc>
        <w:tc>
          <w:tcPr>
            <w:tcW w:type="dxa" w:w="1661"/>
          </w:tcPr>
          <w:p>
            <w:pPr>
              <w:pStyle w:val="null3"/>
            </w:pPr>
            <w:r>
              <w:rPr>
                <w:rFonts w:ascii="仿宋_GB2312" w:hAnsi="仿宋_GB2312" w:cs="仿宋_GB2312" w:eastAsia="仿宋_GB2312"/>
              </w:rPr>
              <w:t>报价一览表.docx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针对本项目制定总体实施方案，项目实施方案完整可行，针对本项目的实施组织机构、人员分工合理、责任明确，供货计划、安装、调试等相关措施完善，能确保项目顺利实施。 方案整体考量全面、内容详细，时间进度安排合理，保障措施明确有力，得15分。 方案考量较为全面、有较为明确的计划，时间进度安排满足招标要求，有一定实施质量保障措施，得10分。 方案欠缺周全，保障措施欠缺，得5分。未提供不得分。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项目总体实施方案.docx</w:t>
            </w:r>
          </w:p>
        </w:tc>
      </w:tr>
      <w:tr>
        <w:tc>
          <w:tcPr>
            <w:tcW w:type="dxa" w:w="831"/>
            <w:vMerge/>
          </w:tcPr>
          <w:p/>
        </w:tc>
        <w:tc>
          <w:tcPr>
            <w:tcW w:type="dxa" w:w="1661"/>
          </w:tcPr>
          <w:p>
            <w:pPr>
              <w:pStyle w:val="null3"/>
            </w:pPr>
            <w:r>
              <w:rPr>
                <w:rFonts w:ascii="仿宋_GB2312" w:hAnsi="仿宋_GB2312" w:cs="仿宋_GB2312" w:eastAsia="仿宋_GB2312"/>
              </w:rPr>
              <w:t>材料规格型号响应</w:t>
            </w:r>
          </w:p>
        </w:tc>
        <w:tc>
          <w:tcPr>
            <w:tcW w:type="dxa" w:w="2492"/>
          </w:tcPr>
          <w:p>
            <w:pPr>
              <w:pStyle w:val="null3"/>
            </w:pPr>
            <w:r>
              <w:rPr>
                <w:rFonts w:ascii="仿宋_GB2312" w:hAnsi="仿宋_GB2312" w:cs="仿宋_GB2312" w:eastAsia="仿宋_GB2312"/>
              </w:rPr>
              <w:t>投标文件中所报大棚材料（如骨架、棚膜、保温被、连接件等）的规格型号、参数等完全符合或优于采购文件要求的得15分，每有一项关键参数（标注“▲”）负偏离扣3分，非关键参数负偏离每项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材料规格型号响应及质量保障措施.docx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针对本项目产品进货渠道正规，有质量保证，无假冒伪劣、瑕疵产品，提供产品来源渠道合法的证明文件（包括但不限于销售协议、代理协议、原厂授权）。 产品货源渠道明晰，产品授权齐全。技术资料齐全，备品、配件供应有保障，零配件供应充足、及时，得10分。 产品货源渠道明晰，产品授权齐全，备品备件等供应基本能满足需要，得5分。 产品货源渠道不明确，产品授权不齐全，无法确定备品备件供应是否能满足需要，得3分。未提供不得分。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材料规格型号响应及质量保障措施.docx</w:t>
            </w:r>
          </w:p>
        </w:tc>
      </w:tr>
      <w:tr>
        <w:tc>
          <w:tcPr>
            <w:tcW w:type="dxa" w:w="831"/>
            <w:vMerge/>
          </w:tcPr>
          <w:p/>
        </w:tc>
        <w:tc>
          <w:tcPr>
            <w:tcW w:type="dxa" w:w="1661"/>
          </w:tcPr>
          <w:p>
            <w:pPr>
              <w:pStyle w:val="null3"/>
            </w:pPr>
            <w:r>
              <w:rPr>
                <w:rFonts w:ascii="仿宋_GB2312" w:hAnsi="仿宋_GB2312" w:cs="仿宋_GB2312" w:eastAsia="仿宋_GB2312"/>
              </w:rPr>
              <w:t>项目进度保障措施</w:t>
            </w:r>
          </w:p>
        </w:tc>
        <w:tc>
          <w:tcPr>
            <w:tcW w:type="dxa" w:w="2492"/>
          </w:tcPr>
          <w:p>
            <w:pPr>
              <w:pStyle w:val="null3"/>
            </w:pPr>
            <w:r>
              <w:rPr>
                <w:rFonts w:ascii="仿宋_GB2312" w:hAnsi="仿宋_GB2312" w:cs="仿宋_GB2312" w:eastAsia="仿宋_GB2312"/>
              </w:rPr>
              <w:t>针对本项目制定项目进度保障措施，提供详细的大棚材料运输、交付及配合安装的进度计划，明确各阶段时间节点，且完全满足采购文件规定的整体工期要求，计划逻辑清晰、可操作性强的，得10分；进度计划基本满足工期要求但节点不够细化的，得5分；进度计划粗糙或未明确关键节点的，得3分；进度计划无法满足工期要求或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项目进度保障措施.docx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编制售后服务方案，包括但不限于生产厂家售后服务承诺及相关措施、产品发生不同类型故障后的到达现场时间、解决故障时间、补救措施等方面的措施或方案，同时具有明确的承诺且符合实际需求，提供详细的售后服务方案及售后服务承诺等，按其响应程度打分。 方案切实可行、针对性强、服务响应高效，服务承诺明确，标准高，得10分； 方案合理可行、具有一定针对性、服务响应较为高效，服务标准较高，得5分； 方案笼统、响应欠缺高效，服务标准模糊，或无本项方案，得3分。未提供不得分。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1日至今类似项目的业绩，并附有其业绩证明材料，业绩以合同为依据，附合同关键页（合同名称、合同签订双方的名称、合同采购内容、双方签章页等内容）复印件加盖供应商公章，每提供一个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针对本项目组织项目团队，配备专职项目负责人及2人以上核心服务团队，负责人有3年及以上相关项目经验，团队成员具备基础专业能力的，得4分。 仅配备专职项目负责人或核心团队不足2人，但人员具备基本履职能力的，得2分。 未明确人员配置或人员无相关经验的，得0分。（需提供人员配置说明及相关经验证明）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项目团队组成.docx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满足招标文件要求且评审报价最低的报价为评标基准价，其价格分为满分。其他供应商的价格分统一按照下列公式计算：投标报价得分＝(有效最低报价/有效投标报价)×30的公式计算其得分。 投标报价不完整的，不进入评标基准价的计算，本项得0分。 经评标委员会一致认定，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详见附件：材料规格型号响应及质量保障措施.docx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详见附件：供应商拒绝贿赂承诺书.docx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详见附件：项目进度保障措施.docx</w:t>
      </w:r>
    </w:p>
    <w:p>
      <w:pPr>
        <w:pStyle w:val="null3"/>
        <w:ind w:firstLine="960"/>
      </w:pPr>
      <w:r>
        <w:rPr>
          <w:rFonts w:ascii="仿宋_GB2312" w:hAnsi="仿宋_GB2312" w:cs="仿宋_GB2312" w:eastAsia="仿宋_GB2312"/>
        </w:rPr>
        <w:t>详见附件：项目团队组成.docx</w:t>
      </w:r>
    </w:p>
    <w:p>
      <w:pPr>
        <w:pStyle w:val="null3"/>
        <w:ind w:firstLine="960"/>
      </w:pPr>
      <w:r>
        <w:rPr>
          <w:rFonts w:ascii="仿宋_GB2312" w:hAnsi="仿宋_GB2312" w:cs="仿宋_GB2312" w:eastAsia="仿宋_GB2312"/>
        </w:rPr>
        <w:t>详见附件：项目总体实施方案.docx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