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版本号：JHZY-ZB-2025-02720251205001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64排CT球管采购项目（二次）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JHZY-ZB-2025-027</w:t>
      </w:r>
      <w:r>
        <w:br/>
      </w:r>
      <w:r>
        <w:br/>
      </w:r>
      <w:r>
        <w:br/>
      </w:r>
    </w:p>
    <w:p>
      <w:pPr>
        <w:pStyle w:val="null3"/>
        <w:jc w:val="center"/>
        <w:outlineLvl w:val="2"/>
      </w:pPr>
      <w:r>
        <w:rPr>
          <w:rFonts w:ascii="仿宋_GB2312" w:hAnsi="仿宋_GB2312" w:cs="仿宋_GB2312" w:eastAsia="仿宋_GB2312"/>
          <w:sz w:val="28"/>
          <w:b/>
        </w:rPr>
        <w:t>乾县人民医院</w:t>
      </w:r>
    </w:p>
    <w:p>
      <w:pPr>
        <w:pStyle w:val="null3"/>
        <w:jc w:val="center"/>
        <w:outlineLvl w:val="2"/>
      </w:pPr>
      <w:r>
        <w:rPr>
          <w:rFonts w:ascii="仿宋_GB2312" w:hAnsi="仿宋_GB2312" w:cs="仿宋_GB2312" w:eastAsia="仿宋_GB2312"/>
          <w:sz w:val="28"/>
          <w:b/>
        </w:rPr>
        <w:t>陕西泾河泽悦项目管理有限公司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陕西泾河泽悦项目管理有限公司</w:t>
      </w:r>
      <w:r>
        <w:rPr>
          <w:rFonts w:ascii="仿宋_GB2312" w:hAnsi="仿宋_GB2312" w:cs="仿宋_GB2312" w:eastAsia="仿宋_GB2312"/>
        </w:rPr>
        <w:t>（以下简称“代理机构”）受</w:t>
      </w:r>
      <w:r>
        <w:rPr>
          <w:rFonts w:ascii="仿宋_GB2312" w:hAnsi="仿宋_GB2312" w:cs="仿宋_GB2312" w:eastAsia="仿宋_GB2312"/>
        </w:rPr>
        <w:t>乾县人民医院</w:t>
      </w:r>
      <w:r>
        <w:rPr>
          <w:rFonts w:ascii="仿宋_GB2312" w:hAnsi="仿宋_GB2312" w:cs="仿宋_GB2312" w:eastAsia="仿宋_GB2312"/>
        </w:rPr>
        <w:t>委托，拟对</w:t>
      </w:r>
      <w:r>
        <w:rPr>
          <w:rFonts w:ascii="仿宋_GB2312" w:hAnsi="仿宋_GB2312" w:cs="仿宋_GB2312" w:eastAsia="仿宋_GB2312"/>
        </w:rPr>
        <w:t>64排CT球管采购项目（二次）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JHZY-ZB-2025-027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64排CT球管采购项目（二次）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乾县人民医院64排CT球管采购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采购包1（乾县人民医院64排CT球管采购项目）：属于专门面向中小企业采购。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3、税收缴纳证明：税收缴纳证明：提供截止至开标时间前六个月内任意一个月的税收缴纳凭据；（依法免税的投标人应提供相关文件证明）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8、提供供应商《医疗器械经营许可证》（或医疗器械经营备案凭证）：提供供应商《医疗器械经营许可证》（或医疗器械经营备案凭证）</w:t>
      </w:r>
    </w:p>
    <w:p>
      <w:pPr>
        <w:pStyle w:val="null3"/>
      </w:pPr>
      <w:r>
        <w:rPr>
          <w:rFonts w:ascii="仿宋_GB2312" w:hAnsi="仿宋_GB2312" w:cs="仿宋_GB2312" w:eastAsia="仿宋_GB2312"/>
        </w:rPr>
        <w:t>9、提供生产厂家《医疗器械生产许可证》；（复印件加盖厂家公章）：提供生产厂家《医疗器械生产许可证》；（复印件加盖厂家公章）</w:t>
      </w:r>
    </w:p>
    <w:p>
      <w:pPr>
        <w:pStyle w:val="null3"/>
      </w:pPr>
      <w:r>
        <w:rPr>
          <w:rFonts w:ascii="仿宋_GB2312" w:hAnsi="仿宋_GB2312" w:cs="仿宋_GB2312" w:eastAsia="仿宋_GB2312"/>
        </w:rPr>
        <w:t>10、提供所投产品《医疗器械注册证》；（复印件加盖厂家公章）：提供所投产品《医疗器械注册证》；（复印件加盖厂家公章）</w:t>
      </w:r>
    </w:p>
    <w:p>
      <w:pPr>
        <w:pStyle w:val="null3"/>
      </w:pPr>
      <w:r>
        <w:rPr>
          <w:rFonts w:ascii="仿宋_GB2312" w:hAnsi="仿宋_GB2312" w:cs="仿宋_GB2312" w:eastAsia="仿宋_GB2312"/>
        </w:rPr>
        <w:t>11、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p>
      <w:pPr>
        <w:pStyle w:val="null3"/>
      </w:pPr>
      <w:r>
        <w:rPr>
          <w:rFonts w:ascii="仿宋_GB2312" w:hAnsi="仿宋_GB2312" w:cs="仿宋_GB2312" w:eastAsia="仿宋_GB2312"/>
        </w:rPr>
        <w:t>12、控股管理关系：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乾县泰山庙街34号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陕西泾河泽悦项目管理有限公司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陕西省西安市未央区北二环华帝金座A座903室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029-68656808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时，向陕西泾河泽悦项目管理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3.账号信息 3.1开户行名称：陕西泾河泽悦项目管理有限公司 3.2开 户 行：中国建设银行股份有限公司泾阳县中心街支行 3.3账 号：6105 0163 7355 0911 1111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乾县人民医院</w:t>
      </w:r>
      <w:r>
        <w:rPr>
          <w:rFonts w:ascii="仿宋_GB2312" w:hAnsi="仿宋_GB2312" w:cs="仿宋_GB2312" w:eastAsia="仿宋_GB2312"/>
        </w:rPr>
        <w:t>和</w:t>
      </w:r>
      <w:r>
        <w:rPr>
          <w:rFonts w:ascii="仿宋_GB2312" w:hAnsi="仿宋_GB2312" w:cs="仿宋_GB2312" w:eastAsia="仿宋_GB2312"/>
        </w:rPr>
        <w:t>陕西泾河泽悦项目管理有限公司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陕西泾河泽悦项目管理有限公司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陕西泾河泽悦项目管理有限公司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陕西泾河泽悦项目管理有限公司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联系电话：联系方式：029-68656808，邮箱：JHZY6808@163.com</w:t>
      </w:r>
    </w:p>
    <w:p>
      <w:pPr>
        <w:pStyle w:val="null3"/>
      </w:pPr>
      <w:r>
        <w:rPr>
          <w:rFonts w:ascii="仿宋_GB2312" w:hAnsi="仿宋_GB2312" w:cs="仿宋_GB2312" w:eastAsia="仿宋_GB2312"/>
        </w:rPr>
        <w:t>地址：陕西泾河泽悦项目管理有限公司（陕西省西安市未央区北二环华帝金座A座903室）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乾县人民医院64排CT球管采购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1,750,000.00</w:t>
      </w:r>
    </w:p>
    <w:p>
      <w:pPr>
        <w:pStyle w:val="null3"/>
      </w:pPr>
      <w:r>
        <w:rPr>
          <w:rFonts w:ascii="仿宋_GB2312" w:hAnsi="仿宋_GB2312" w:cs="仿宋_GB2312" w:eastAsia="仿宋_GB2312"/>
        </w:rPr>
        <w:t>采购包最高限价（元）: 1,750,000.00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64排CT球管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标的名称：64排CT球管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序号</w:t>
                  </w:r>
                </w:p>
              </w:tc>
              <w:tc>
                <w:tcPr>
                  <w:tcW w:type="dxa" w:w="1276"/>
                </w:tcPr>
                <w:p>
                  <w:pPr>
                    <w:pStyle w:val="null3"/>
                  </w:pPr>
                  <w:r>
                    <w:rPr>
                      <w:rFonts w:ascii="仿宋_GB2312" w:hAnsi="仿宋_GB2312" w:cs="仿宋_GB2312" w:eastAsia="仿宋_GB2312"/>
                    </w:rPr>
                    <w:t>参数要求</w:t>
                  </w:r>
                </w:p>
              </w:tc>
            </w:tr>
            <w:tr>
              <w:tc>
                <w:tcPr>
                  <w:tcW w:type="dxa" w:w="1276"/>
                </w:tcPr>
                <w:p>
                  <w:pPr>
                    <w:pStyle w:val="null3"/>
                  </w:pPr>
                  <w:r>
                    <w:rPr>
                      <w:rFonts w:ascii="仿宋_GB2312" w:hAnsi="仿宋_GB2312" w:cs="仿宋_GB2312" w:eastAsia="仿宋_GB2312"/>
                    </w:rPr>
                    <w:t>1</w:t>
                  </w:r>
                </w:p>
              </w:tc>
              <w:tc>
                <w:tcPr>
                  <w:tcW w:type="dxa" w:w="1276"/>
                </w:tcPr>
                <w:p>
                  <w:pPr>
                    <w:pStyle w:val="null3"/>
                  </w:pPr>
                  <w:r>
                    <w:rPr>
                      <w:rFonts w:ascii="仿宋_GB2312" w:hAnsi="仿宋_GB2312" w:cs="仿宋_GB2312" w:eastAsia="仿宋_GB2312"/>
                    </w:rPr>
                    <w:t>标称X射线管电压：≥140 kV</w:t>
                  </w:r>
                </w:p>
              </w:tc>
            </w:tr>
            <w:tr>
              <w:tc>
                <w:tcPr>
                  <w:tcW w:type="dxa" w:w="1276"/>
                </w:tcPr>
                <w:p>
                  <w:pPr>
                    <w:pStyle w:val="null3"/>
                  </w:pPr>
                  <w:r>
                    <w:rPr>
                      <w:rFonts w:ascii="仿宋_GB2312" w:hAnsi="仿宋_GB2312" w:cs="仿宋_GB2312" w:eastAsia="仿宋_GB2312"/>
                    </w:rPr>
                    <w:t>2</w:t>
                  </w:r>
                </w:p>
              </w:tc>
              <w:tc>
                <w:tcPr>
                  <w:tcW w:type="dxa" w:w="1276"/>
                </w:tcPr>
                <w:p>
                  <w:pPr>
                    <w:pStyle w:val="null3"/>
                  </w:pPr>
                  <w:r>
                    <w:rPr>
                      <w:rFonts w:ascii="仿宋_GB2312" w:hAnsi="仿宋_GB2312" w:cs="仿宋_GB2312" w:eastAsia="仿宋_GB2312"/>
                    </w:rPr>
                    <w:t>标称阳极输入功率/ 管组件标称功率：</w:t>
                  </w:r>
                </w:p>
                <w:p>
                  <w:pPr>
                    <w:pStyle w:val="null3"/>
                  </w:pPr>
                  <w:r>
                    <w:rPr>
                      <w:rFonts w:ascii="仿宋_GB2312" w:hAnsi="仿宋_GB2312" w:cs="仿宋_GB2312" w:eastAsia="仿宋_GB2312"/>
                    </w:rPr>
                    <w:t>小焦点：≥24 kW</w:t>
                  </w:r>
                </w:p>
                <w:p>
                  <w:pPr>
                    <w:pStyle w:val="null3"/>
                  </w:pPr>
                  <w:r>
                    <w:rPr>
                      <w:rFonts w:ascii="仿宋_GB2312" w:hAnsi="仿宋_GB2312" w:cs="仿宋_GB2312" w:eastAsia="仿宋_GB2312"/>
                    </w:rPr>
                    <w:t>大焦点：≥72 kW</w:t>
                  </w:r>
                </w:p>
              </w:tc>
            </w:tr>
            <w:tr>
              <w:tc>
                <w:tcPr>
                  <w:tcW w:type="dxa" w:w="1276"/>
                </w:tcPr>
                <w:p>
                  <w:pPr>
                    <w:pStyle w:val="null3"/>
                  </w:pPr>
                  <w:r>
                    <w:rPr>
                      <w:rFonts w:ascii="仿宋_GB2312" w:hAnsi="仿宋_GB2312" w:cs="仿宋_GB2312" w:eastAsia="仿宋_GB2312"/>
                    </w:rPr>
                    <w:t>3</w:t>
                  </w:r>
                </w:p>
              </w:tc>
              <w:tc>
                <w:tcPr>
                  <w:tcW w:type="dxa" w:w="1276"/>
                </w:tcPr>
                <w:p>
                  <w:pPr>
                    <w:pStyle w:val="null3"/>
                  </w:pPr>
                  <w:r>
                    <w:rPr>
                      <w:rFonts w:ascii="仿宋_GB2312" w:hAnsi="仿宋_GB2312" w:cs="仿宋_GB2312" w:eastAsia="仿宋_GB2312"/>
                    </w:rPr>
                    <w:t>焦点标称值：</w:t>
                  </w:r>
                </w:p>
                <w:p>
                  <w:pPr>
                    <w:pStyle w:val="null3"/>
                  </w:pPr>
                  <w:r>
                    <w:rPr>
                      <w:rFonts w:ascii="仿宋_GB2312" w:hAnsi="仿宋_GB2312" w:cs="仿宋_GB2312" w:eastAsia="仿宋_GB2312"/>
                    </w:rPr>
                    <w:t>小焦点尺寸：≤0.9mmX0.7mm</w:t>
                  </w:r>
                </w:p>
                <w:p>
                  <w:pPr>
                    <w:pStyle w:val="null3"/>
                  </w:pPr>
                  <w:r>
                    <w:rPr>
                      <w:rFonts w:ascii="仿宋_GB2312" w:hAnsi="仿宋_GB2312" w:cs="仿宋_GB2312" w:eastAsia="仿宋_GB2312"/>
                    </w:rPr>
                    <w:t>大焦点尺寸：≤1.2mmX1.1mm</w:t>
                  </w:r>
                </w:p>
              </w:tc>
            </w:tr>
            <w:tr>
              <w:tc>
                <w:tcPr>
                  <w:tcW w:type="dxa" w:w="1276"/>
                </w:tcPr>
                <w:p>
                  <w:pPr>
                    <w:pStyle w:val="null3"/>
                  </w:pPr>
                  <w:r>
                    <w:rPr>
                      <w:rFonts w:ascii="仿宋_GB2312" w:hAnsi="仿宋_GB2312" w:cs="仿宋_GB2312" w:eastAsia="仿宋_GB2312"/>
                    </w:rPr>
                    <w:t>4</w:t>
                  </w:r>
                </w:p>
              </w:tc>
              <w:tc>
                <w:tcPr>
                  <w:tcW w:type="dxa" w:w="1276"/>
                </w:tcPr>
                <w:p>
                  <w:pPr>
                    <w:pStyle w:val="null3"/>
                  </w:pPr>
                  <w:r>
                    <w:rPr>
                      <w:rFonts w:ascii="仿宋_GB2312" w:hAnsi="仿宋_GB2312" w:cs="仿宋_GB2312" w:eastAsia="仿宋_GB2312"/>
                    </w:rPr>
                    <w:t>标称CT扫描功率指数：</w:t>
                  </w:r>
                </w:p>
                <w:p>
                  <w:pPr>
                    <w:pStyle w:val="null3"/>
                  </w:pPr>
                  <w:r>
                    <w:rPr>
                      <w:rFonts w:ascii="仿宋_GB2312" w:hAnsi="仿宋_GB2312" w:cs="仿宋_GB2312" w:eastAsia="仿宋_GB2312"/>
                    </w:rPr>
                    <w:t>小焦点：≥ 24 kW</w:t>
                  </w:r>
                </w:p>
                <w:p>
                  <w:pPr>
                    <w:pStyle w:val="null3"/>
                  </w:pPr>
                  <w:r>
                    <w:rPr>
                      <w:rFonts w:ascii="仿宋_GB2312" w:hAnsi="仿宋_GB2312" w:cs="仿宋_GB2312" w:eastAsia="仿宋_GB2312"/>
                    </w:rPr>
                    <w:t>大焦点：≥55.1 kW</w:t>
                  </w:r>
                </w:p>
              </w:tc>
            </w:tr>
            <w:tr>
              <w:tc>
                <w:tcPr>
                  <w:tcW w:type="dxa" w:w="1276"/>
                </w:tcPr>
                <w:p>
                  <w:pPr>
                    <w:pStyle w:val="null3"/>
                  </w:pPr>
                  <w:r>
                    <w:rPr>
                      <w:rFonts w:ascii="仿宋_GB2312" w:hAnsi="仿宋_GB2312" w:cs="仿宋_GB2312" w:eastAsia="仿宋_GB2312"/>
                    </w:rPr>
                    <w:t>5</w:t>
                  </w:r>
                </w:p>
              </w:tc>
              <w:tc>
                <w:tcPr>
                  <w:tcW w:type="dxa" w:w="1276"/>
                </w:tcPr>
                <w:p>
                  <w:pPr>
                    <w:pStyle w:val="null3"/>
                  </w:pPr>
                  <w:r>
                    <w:rPr>
                      <w:rFonts w:ascii="仿宋_GB2312" w:hAnsi="仿宋_GB2312" w:cs="仿宋_GB2312" w:eastAsia="仿宋_GB2312"/>
                    </w:rPr>
                    <w:t>最大阳极热容量：≥5MJ(7.0MHU)</w:t>
                  </w:r>
                </w:p>
              </w:tc>
            </w:tr>
            <w:tr>
              <w:tc>
                <w:tcPr>
                  <w:tcW w:type="dxa" w:w="1276"/>
                </w:tcPr>
                <w:p>
                  <w:pPr>
                    <w:pStyle w:val="null3"/>
                  </w:pPr>
                  <w:r>
                    <w:rPr>
                      <w:rFonts w:ascii="仿宋_GB2312" w:hAnsi="仿宋_GB2312" w:cs="仿宋_GB2312" w:eastAsia="仿宋_GB2312"/>
                    </w:rPr>
                    <w:t>6</w:t>
                  </w:r>
                </w:p>
              </w:tc>
              <w:tc>
                <w:tcPr>
                  <w:tcW w:type="dxa" w:w="1276"/>
                </w:tcPr>
                <w:p>
                  <w:pPr>
                    <w:pStyle w:val="null3"/>
                  </w:pPr>
                  <w:r>
                    <w:rPr>
                      <w:rFonts w:ascii="仿宋_GB2312" w:hAnsi="仿宋_GB2312" w:cs="仿宋_GB2312" w:eastAsia="仿宋_GB2312"/>
                    </w:rPr>
                    <w:t>X射线管组件热容量：≥7.7MJ（10.8MHU）</w:t>
                  </w:r>
                </w:p>
              </w:tc>
            </w:tr>
            <w:tr>
              <w:tc>
                <w:tcPr>
                  <w:tcW w:type="dxa" w:w="1276"/>
                </w:tcPr>
                <w:p>
                  <w:pPr>
                    <w:pStyle w:val="null3"/>
                  </w:pPr>
                  <w:r>
                    <w:rPr>
                      <w:rFonts w:ascii="仿宋_GB2312" w:hAnsi="仿宋_GB2312" w:cs="仿宋_GB2312" w:eastAsia="仿宋_GB2312"/>
                    </w:rPr>
                    <w:t>7</w:t>
                  </w:r>
                </w:p>
              </w:tc>
              <w:tc>
                <w:tcPr>
                  <w:tcW w:type="dxa" w:w="1276"/>
                </w:tcPr>
                <w:p>
                  <w:pPr>
                    <w:pStyle w:val="null3"/>
                  </w:pPr>
                  <w:r>
                    <w:rPr>
                      <w:rFonts w:ascii="仿宋_GB2312" w:hAnsi="仿宋_GB2312" w:cs="仿宋_GB2312" w:eastAsia="仿宋_GB2312"/>
                    </w:rPr>
                    <w:t>阳极靶面角度：≤7.0°</w:t>
                  </w:r>
                </w:p>
              </w:tc>
            </w:tr>
            <w:tr>
              <w:tc>
                <w:tcPr>
                  <w:tcW w:type="dxa" w:w="1276"/>
                </w:tcPr>
                <w:p>
                  <w:pPr>
                    <w:pStyle w:val="null3"/>
                  </w:pPr>
                  <w:r>
                    <w:rPr>
                      <w:rFonts w:ascii="仿宋_GB2312" w:hAnsi="仿宋_GB2312" w:cs="仿宋_GB2312" w:eastAsia="仿宋_GB2312"/>
                    </w:rPr>
                    <w:t>8</w:t>
                  </w:r>
                </w:p>
              </w:tc>
              <w:tc>
                <w:tcPr>
                  <w:tcW w:type="dxa" w:w="1276"/>
                </w:tcPr>
                <w:p>
                  <w:pPr>
                    <w:pStyle w:val="null3"/>
                  </w:pPr>
                  <w:r>
                    <w:rPr>
                      <w:rFonts w:ascii="仿宋_GB2312" w:hAnsi="仿宋_GB2312" w:cs="仿宋_GB2312" w:eastAsia="仿宋_GB2312"/>
                    </w:rPr>
                    <w:t>连续阳极输入功率：≥3.5 kW</w:t>
                  </w:r>
                </w:p>
              </w:tc>
            </w:tr>
            <w:tr>
              <w:tc>
                <w:tcPr>
                  <w:tcW w:type="dxa" w:w="1276"/>
                </w:tcPr>
                <w:p>
                  <w:pPr>
                    <w:pStyle w:val="null3"/>
                  </w:pPr>
                  <w:r>
                    <w:rPr>
                      <w:rFonts w:ascii="仿宋_GB2312" w:hAnsi="仿宋_GB2312" w:cs="仿宋_GB2312" w:eastAsia="仿宋_GB2312"/>
                    </w:rPr>
                    <w:t>9</w:t>
                  </w:r>
                </w:p>
              </w:tc>
              <w:tc>
                <w:tcPr>
                  <w:tcW w:type="dxa" w:w="1276"/>
                </w:tcPr>
                <w:p>
                  <w:pPr>
                    <w:pStyle w:val="null3"/>
                  </w:pPr>
                  <w:r>
                    <w:rPr>
                      <w:rFonts w:ascii="仿宋_GB2312" w:hAnsi="仿宋_GB2312" w:cs="仿宋_GB2312" w:eastAsia="仿宋_GB2312"/>
                    </w:rPr>
                    <w:t>最大X射线管组件热耗散：≥4.8 kW</w:t>
                  </w:r>
                </w:p>
              </w:tc>
            </w:tr>
            <w:tr>
              <w:tc>
                <w:tcPr>
                  <w:tcW w:type="dxa" w:w="1276"/>
                </w:tcPr>
                <w:p>
                  <w:pPr>
                    <w:pStyle w:val="null3"/>
                  </w:pPr>
                  <w:r>
                    <w:rPr>
                      <w:rFonts w:ascii="仿宋_GB2312" w:hAnsi="仿宋_GB2312" w:cs="仿宋_GB2312" w:eastAsia="仿宋_GB2312"/>
                    </w:rPr>
                    <w:t>10</w:t>
                  </w:r>
                </w:p>
              </w:tc>
              <w:tc>
                <w:tcPr>
                  <w:tcW w:type="dxa" w:w="1276"/>
                </w:tcPr>
                <w:p>
                  <w:pPr>
                    <w:pStyle w:val="null3"/>
                  </w:pPr>
                  <w:r>
                    <w:rPr>
                      <w:rFonts w:ascii="仿宋_GB2312" w:hAnsi="仿宋_GB2312" w:cs="仿宋_GB2312" w:eastAsia="仿宋_GB2312"/>
                    </w:rPr>
                    <w:t>重量：91kg ±0.5kg</w:t>
                  </w:r>
                </w:p>
              </w:tc>
            </w:tr>
            <w:tr>
              <w:tc>
                <w:tcPr>
                  <w:tcW w:type="dxa" w:w="1276"/>
                </w:tcPr>
                <w:p>
                  <w:pPr>
                    <w:pStyle w:val="null3"/>
                  </w:pPr>
                  <w:r>
                    <w:rPr>
                      <w:rFonts w:ascii="仿宋_GB2312" w:hAnsi="仿宋_GB2312" w:cs="仿宋_GB2312" w:eastAsia="仿宋_GB2312"/>
                    </w:rPr>
                    <w:t>11</w:t>
                  </w:r>
                </w:p>
              </w:tc>
              <w:tc>
                <w:tcPr>
                  <w:tcW w:type="dxa" w:w="1276"/>
                </w:tcPr>
                <w:p>
                  <w:pPr>
                    <w:pStyle w:val="null3"/>
                  </w:pPr>
                  <w:r>
                    <w:rPr>
                      <w:rFonts w:ascii="仿宋_GB2312" w:hAnsi="仿宋_GB2312" w:cs="仿宋_GB2312" w:eastAsia="仿宋_GB2312"/>
                    </w:rPr>
                    <w:t>冷却方式：油冷</w:t>
                  </w:r>
                </w:p>
              </w:tc>
            </w:tr>
            <w:tr>
              <w:tc>
                <w:tcPr>
                  <w:tcW w:type="dxa" w:w="1276"/>
                </w:tcPr>
                <w:p>
                  <w:pPr>
                    <w:pStyle w:val="null3"/>
                  </w:pPr>
                  <w:r>
                    <w:rPr>
                      <w:rFonts w:ascii="仿宋_GB2312" w:hAnsi="仿宋_GB2312" w:cs="仿宋_GB2312" w:eastAsia="仿宋_GB2312"/>
                    </w:rPr>
                    <w:t>12</w:t>
                  </w:r>
                </w:p>
              </w:tc>
              <w:tc>
                <w:tcPr>
                  <w:tcW w:type="dxa" w:w="1276"/>
                </w:tcPr>
                <w:p>
                  <w:pPr>
                    <w:pStyle w:val="null3"/>
                  </w:pPr>
                  <w:r>
                    <w:rPr>
                      <w:rFonts w:ascii="仿宋_GB2312" w:hAnsi="仿宋_GB2312" w:cs="仿宋_GB2312" w:eastAsia="仿宋_GB2312"/>
                    </w:rPr>
                    <w:t>绝缘油耐压强度：35kV/2.5mm</w:t>
                  </w:r>
                </w:p>
              </w:tc>
            </w:tr>
            <w:tr>
              <w:tc>
                <w:tcPr>
                  <w:tcW w:type="dxa" w:w="1276"/>
                </w:tcPr>
                <w:p>
                  <w:pPr>
                    <w:pStyle w:val="null3"/>
                  </w:pPr>
                  <w:r>
                    <w:rPr>
                      <w:rFonts w:ascii="仿宋_GB2312" w:hAnsi="仿宋_GB2312" w:cs="仿宋_GB2312" w:eastAsia="仿宋_GB2312"/>
                    </w:rPr>
                    <w:t>13</w:t>
                  </w:r>
                </w:p>
              </w:tc>
              <w:tc>
                <w:tcPr>
                  <w:tcW w:type="dxa" w:w="1276"/>
                </w:tcPr>
                <w:p>
                  <w:pPr>
                    <w:pStyle w:val="null3"/>
                  </w:pPr>
                  <w:r>
                    <w:rPr>
                      <w:rFonts w:ascii="仿宋_GB2312" w:hAnsi="仿宋_GB2312" w:cs="仿宋_GB2312" w:eastAsia="仿宋_GB2312"/>
                    </w:rPr>
                    <w:t>绝缘油流量：≥ 5 L/min</w:t>
                  </w:r>
                </w:p>
              </w:tc>
            </w:tr>
            <w:tr>
              <w:tc>
                <w:tcPr>
                  <w:tcW w:type="dxa" w:w="1276"/>
                </w:tcPr>
                <w:p>
                  <w:pPr>
                    <w:pStyle w:val="null3"/>
                  </w:pPr>
                  <w:r>
                    <w:rPr>
                      <w:rFonts w:ascii="仿宋_GB2312" w:hAnsi="仿宋_GB2312" w:cs="仿宋_GB2312" w:eastAsia="仿宋_GB2312"/>
                    </w:rPr>
                    <w:t>14</w:t>
                  </w:r>
                </w:p>
              </w:tc>
              <w:tc>
                <w:tcPr>
                  <w:tcW w:type="dxa" w:w="1276"/>
                </w:tcPr>
                <w:p>
                  <w:pPr>
                    <w:pStyle w:val="null3"/>
                  </w:pPr>
                  <w:r>
                    <w:rPr>
                      <w:rFonts w:ascii="仿宋_GB2312" w:hAnsi="仿宋_GB2312" w:cs="仿宋_GB2312" w:eastAsia="仿宋_GB2312"/>
                    </w:rPr>
                    <w:t>以辐射值为特征的靶面材料：TZM基体 WRE合金靶</w:t>
                  </w:r>
                </w:p>
              </w:tc>
            </w:tr>
            <w:tr>
              <w:tc>
                <w:tcPr>
                  <w:tcW w:type="dxa" w:w="1276"/>
                </w:tcPr>
                <w:p>
                  <w:pPr>
                    <w:pStyle w:val="null3"/>
                  </w:pPr>
                  <w:r>
                    <w:rPr>
                      <w:rFonts w:ascii="仿宋_GB2312" w:hAnsi="仿宋_GB2312" w:cs="仿宋_GB2312" w:eastAsia="仿宋_GB2312"/>
                    </w:rPr>
                    <w:t>15</w:t>
                  </w:r>
                </w:p>
              </w:tc>
              <w:tc>
                <w:tcPr>
                  <w:tcW w:type="dxa" w:w="1276"/>
                </w:tcPr>
                <w:p>
                  <w:pPr>
                    <w:pStyle w:val="null3"/>
                  </w:pPr>
                  <w:r>
                    <w:rPr>
                      <w:rFonts w:ascii="仿宋_GB2312" w:hAnsi="仿宋_GB2312" w:cs="仿宋_GB2312" w:eastAsia="仿宋_GB2312"/>
                    </w:rPr>
                    <w:t>120kV时最大毫安输出：≥600mA</w:t>
                  </w:r>
                </w:p>
              </w:tc>
            </w:tr>
            <w:tr>
              <w:tc>
                <w:tcPr>
                  <w:tcW w:type="dxa" w:w="1276"/>
                </w:tcPr>
                <w:p>
                  <w:pPr>
                    <w:pStyle w:val="null3"/>
                  </w:pPr>
                  <w:r>
                    <w:rPr>
                      <w:rFonts w:ascii="仿宋_GB2312" w:hAnsi="仿宋_GB2312" w:cs="仿宋_GB2312" w:eastAsia="仿宋_GB2312"/>
                    </w:rPr>
                    <w:t>16</w:t>
                  </w:r>
                </w:p>
              </w:tc>
              <w:tc>
                <w:tcPr>
                  <w:tcW w:type="dxa" w:w="1276"/>
                </w:tcPr>
                <w:p>
                  <w:pPr>
                    <w:pStyle w:val="null3"/>
                  </w:pPr>
                  <w:r>
                    <w:rPr>
                      <w:rFonts w:ascii="仿宋_GB2312" w:hAnsi="仿宋_GB2312" w:cs="仿宋_GB2312" w:eastAsia="仿宋_GB2312"/>
                    </w:rPr>
                    <w:t>靶盘直径：≥200mm±3mm</w:t>
                  </w:r>
                </w:p>
              </w:tc>
            </w:tr>
            <w:tr>
              <w:tc>
                <w:tcPr>
                  <w:tcW w:type="dxa" w:w="1276"/>
                </w:tcPr>
                <w:p>
                  <w:pPr>
                    <w:pStyle w:val="null3"/>
                  </w:pPr>
                  <w:r>
                    <w:rPr>
                      <w:rFonts w:ascii="仿宋_GB2312" w:hAnsi="仿宋_GB2312" w:cs="仿宋_GB2312" w:eastAsia="仿宋_GB2312"/>
                    </w:rPr>
                    <w:t>17</w:t>
                  </w:r>
                </w:p>
              </w:tc>
              <w:tc>
                <w:tcPr>
                  <w:tcW w:type="dxa" w:w="1276"/>
                </w:tcPr>
                <w:p>
                  <w:pPr>
                    <w:pStyle w:val="null3"/>
                  </w:pPr>
                  <w:r>
                    <w:rPr>
                      <w:rFonts w:ascii="仿宋_GB2312" w:hAnsi="仿宋_GB2312" w:cs="仿宋_GB2312" w:eastAsia="仿宋_GB2312"/>
                    </w:rPr>
                    <w:t>最长扫描时间（在140HZ,120kV/140 kV条件下）：≥120s</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收到采购人供货通知之日起7日内完成供货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设备安装调试运行正常，待甲方验收合格后，支付合同总价的90%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质保期满一年后，无任何使用问题，支付合同剩余的10%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1.质保期为终验合格后3年或使用次数达到6万个病人。中标人承诺的质保时间超过招标文件要求的，按其承诺时间质保。 2.中标人承诺的质保期起始时间为终验合格之日。 3.所有产品质量必须符合国家有关规范和相关政策。所有设备必须是未使用过的新产品，质量优良、渠道正当，配置合理。 4.质保期内损坏免费更换全新球管。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1.合同实施 1.1中标人应在合同签订后7个日历日内安排人员（项目组成人员简历表所列）与使用单位就送货、安装、调试、培训等工作进行安排、部署。 1.2若未能在交货期内完成合同规定的义务，由此对采购人造成的延误和一切损失，由中标人承担和赔偿。 2.中标人在领取中标通知书时提供一正两副纸质投标文件，纸质投标文件采用书籍（胶装）方式装订成册，与电子投标文件一致的签字、盖章的完整版本。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税收缴纳证明：提供截止至开标时间前六个月内任意一个月的税收缴纳凭据；（依法免税的投标人应提供相关文件证明）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提供供应商《医疗器械经营许可证》（或医疗器械经营备案凭证）</w:t>
            </w:r>
          </w:p>
        </w:tc>
        <w:tc>
          <w:tcPr>
            <w:tcW w:type="dxa" w:w="3322"/>
          </w:tcPr>
          <w:p>
            <w:pPr>
              <w:pStyle w:val="null3"/>
            </w:pPr>
            <w:r>
              <w:rPr>
                <w:rFonts w:ascii="仿宋_GB2312" w:hAnsi="仿宋_GB2312" w:cs="仿宋_GB2312" w:eastAsia="仿宋_GB2312"/>
              </w:rPr>
              <w:t>提供供应商《医疗器械经营许可证》（或医疗器械经营备案凭证）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提供生产厂家《医疗器械生产许可证》；（复印件加盖厂家公章）</w:t>
            </w:r>
          </w:p>
        </w:tc>
        <w:tc>
          <w:tcPr>
            <w:tcW w:type="dxa" w:w="3322"/>
          </w:tcPr>
          <w:p>
            <w:pPr>
              <w:pStyle w:val="null3"/>
            </w:pPr>
            <w:r>
              <w:rPr>
                <w:rFonts w:ascii="仿宋_GB2312" w:hAnsi="仿宋_GB2312" w:cs="仿宋_GB2312" w:eastAsia="仿宋_GB2312"/>
              </w:rPr>
              <w:t>提供生产厂家《医疗器械生产许可证》；（复印件加盖厂家公章）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提供所投产品《医疗器械注册证》；（复印件加盖厂家公章）</w:t>
            </w:r>
          </w:p>
        </w:tc>
        <w:tc>
          <w:tcPr>
            <w:tcW w:type="dxa" w:w="3322"/>
          </w:tcPr>
          <w:p>
            <w:pPr>
              <w:pStyle w:val="null3"/>
            </w:pPr>
            <w:r>
              <w:rPr>
                <w:rFonts w:ascii="仿宋_GB2312" w:hAnsi="仿宋_GB2312" w:cs="仿宋_GB2312" w:eastAsia="仿宋_GB2312"/>
              </w:rPr>
              <w:t>提供所投产品《医疗器械注册证》；（复印件加盖厂家公章）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且装订在每份投标文件中）。</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且装订在每份投标文件中）。</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投标人名称应与获取招标文件的单位名称一致。</w:t>
            </w:r>
          </w:p>
        </w:tc>
        <w:tc>
          <w:tcPr>
            <w:tcW w:type="dxa" w:w="1661"/>
          </w:tcPr>
          <w:p>
            <w:pPr>
              <w:pStyle w:val="null3"/>
            </w:pPr>
            <w:r>
              <w:rPr>
                <w:rFonts w:ascii="仿宋_GB2312" w:hAnsi="仿宋_GB2312" w:cs="仿宋_GB2312" w:eastAsia="仿宋_GB2312"/>
              </w:rPr>
              <w:t>开标一览表 售后服务方案 履约能力方案 《投标人参与政府采购活动的承诺函》（格式） 选配件报价表（格式，若有） 中小企业声明函 业绩 技术规格响应偏离表（格式） 产品的佐证材料 承诺书（格式） 商务条款响应偏离表（格式） 资格证明文件 产品的合法渠道证明文件 投标函 培训方案 拒绝政府采购领域商业贿赂承诺书（格式） 残疾人福利性单位声明函 质量保证方案 投标人认为有必要说明的事宜（若有） 标的清单 投标文件封面 法定代表人授权书（格式） 项目实施方案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投标文件编制格式</w:t>
            </w:r>
          </w:p>
        </w:tc>
        <w:tc>
          <w:tcPr>
            <w:tcW w:type="dxa" w:w="3322"/>
          </w:tcPr>
          <w:p>
            <w:pPr>
              <w:pStyle w:val="null3"/>
            </w:pPr>
            <w:r>
              <w:rPr>
                <w:rFonts w:ascii="仿宋_GB2312" w:hAnsi="仿宋_GB2312" w:cs="仿宋_GB2312" w:eastAsia="仿宋_GB2312"/>
              </w:rPr>
              <w:t>除明确允许投标人可以自行编写的外，投标文件应按照招标文件给定的格式编制。</w:t>
            </w:r>
          </w:p>
        </w:tc>
        <w:tc>
          <w:tcPr>
            <w:tcW w:type="dxa" w:w="1661"/>
          </w:tcPr>
          <w:p>
            <w:pPr>
              <w:pStyle w:val="null3"/>
            </w:pPr>
            <w:r>
              <w:rPr>
                <w:rFonts w:ascii="仿宋_GB2312" w:hAnsi="仿宋_GB2312" w:cs="仿宋_GB2312" w:eastAsia="仿宋_GB2312"/>
              </w:rPr>
              <w:t>开标一览表 售后服务方案 履约能力方案 《投标人参与政府采购活动的承诺函》（格式） 选配件报价表（格式，若有） 中小企业声明函 业绩 技术规格响应偏离表（格式） 产品的佐证材料 承诺书（格式） 商务条款响应偏离表（格式） 资格证明文件 产品的合法渠道证明文件 投标函 培训方案 拒绝政府采购领域商业贿赂承诺书（格式） 残疾人福利性单位声明函 质量保证方案 投标人认为有必要说明的事宜（若有） 标的清单 投标文件封面 法定代表人授权书（格式） 项目实施方案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投标文件应按照招标文件的要求盖章签字。</w:t>
            </w:r>
          </w:p>
        </w:tc>
        <w:tc>
          <w:tcPr>
            <w:tcW w:type="dxa" w:w="1661"/>
          </w:tcPr>
          <w:p>
            <w:pPr>
              <w:pStyle w:val="null3"/>
            </w:pPr>
            <w:r>
              <w:rPr>
                <w:rFonts w:ascii="仿宋_GB2312" w:hAnsi="仿宋_GB2312" w:cs="仿宋_GB2312" w:eastAsia="仿宋_GB2312"/>
              </w:rPr>
              <w:t>开标一览表 售后服务方案 履约能力方案 《投标人参与政府采购活动的承诺函》（格式） 选配件报价表（格式，若有） 中小企业声明函 业绩 技术规格响应偏离表（格式） 产品的佐证材料 承诺书（格式） 商务条款响应偏离表（格式） 资格证明文件 产品的合法渠道证明文件 投标函 培训方案 拒绝政府采购领域商业贿赂承诺书（格式） 残疾人福利性单位声明函 质量保证方案 投标人认为有必要说明的事宜（若有） 标的清单 投标文件封面 法定代表人授权书（格式） 项目实施方案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投标有效期应符合招标文件的要求。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对投标文件商务要求须作出明确且实质性响应。</w:t>
            </w:r>
          </w:p>
        </w:tc>
        <w:tc>
          <w:tcPr>
            <w:tcW w:type="dxa" w:w="1661"/>
          </w:tcPr>
          <w:p>
            <w:pPr>
              <w:pStyle w:val="null3"/>
            </w:pPr>
            <w:r>
              <w:rPr>
                <w:rFonts w:ascii="仿宋_GB2312" w:hAnsi="仿宋_GB2312" w:cs="仿宋_GB2312" w:eastAsia="仿宋_GB2312"/>
              </w:rPr>
              <w:t>商务条款响应偏离表（格式）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技术内容和要求</w:t>
            </w:r>
          </w:p>
        </w:tc>
        <w:tc>
          <w:tcPr>
            <w:tcW w:type="dxa" w:w="3322"/>
          </w:tcPr>
          <w:p>
            <w:pPr>
              <w:pStyle w:val="null3"/>
            </w:pPr>
            <w:r>
              <w:rPr>
                <w:rFonts w:ascii="仿宋_GB2312" w:hAnsi="仿宋_GB2312" w:cs="仿宋_GB2312" w:eastAsia="仿宋_GB2312"/>
              </w:rPr>
              <w:t>对投标文件技术内容和要求须作出明确响应。</w:t>
            </w:r>
          </w:p>
        </w:tc>
        <w:tc>
          <w:tcPr>
            <w:tcW w:type="dxa" w:w="1661"/>
          </w:tcPr>
          <w:p>
            <w:pPr>
              <w:pStyle w:val="null3"/>
            </w:pPr>
            <w:r>
              <w:rPr>
                <w:rFonts w:ascii="仿宋_GB2312" w:hAnsi="仿宋_GB2312" w:cs="仿宋_GB2312" w:eastAsia="仿宋_GB2312"/>
              </w:rPr>
              <w:t>技术规格响应偏离表（格式）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开标一览表 售后服务方案 履约能力方案 《投标人参与政府采购活动的承诺函》（格式） 选配件报价表（格式，若有） 中小企业声明函 业绩 技术规格响应偏离表（格式） 产品的佐证材料 承诺书（格式） 商务条款响应偏离表（格式） 资格证明文件 产品的合法渠道证明文件 投标函 培训方案 拒绝政府采购领域商业贿赂承诺书（格式） 残疾人福利性单位声明函 质量保证方案 投标人认为有必要说明的事宜（若有） 标的清单 投标文件封面 法定代表人授权书（格式） 项目实施方案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无法律、法规和招标文件规定的其他无效响应情形。</w:t>
            </w:r>
          </w:p>
        </w:tc>
        <w:tc>
          <w:tcPr>
            <w:tcW w:type="dxa" w:w="1661"/>
          </w:tcPr>
          <w:p>
            <w:pPr>
              <w:pStyle w:val="null3"/>
            </w:pPr>
            <w:r>
              <w:rPr>
                <w:rFonts w:ascii="仿宋_GB2312" w:hAnsi="仿宋_GB2312" w:cs="仿宋_GB2312" w:eastAsia="仿宋_GB2312"/>
              </w:rPr>
              <w:t>开标一览表 售后服务方案 履约能力方案 《投标人参与政府采购活动的承诺函》（格式） 选配件报价表（格式，若有） 中小企业声明函 业绩 技术规格响应偏离表（格式） 产品的佐证材料 承诺书（格式） 商务条款响应偏离表（格式） 资格证明文件 产品的合法渠道证明文件 投标函 培训方案 拒绝政府采购领域商业贿赂承诺书（格式） 残疾人福利性单位声明函 质量保证方案 投标人认为有必要说明的事宜（若有） 标的清单 投标文件封面 法定代表人授权书（格式） 项目实施方案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完全符合、满足招标文件技术要求的，计20分；技术指标每有一条负偏离扣2分，基本分扣完为止。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技术规格响应偏离表（格式）</w:t>
            </w:r>
          </w:p>
          <w:p>
            <w:pPr>
              <w:pStyle w:val="null3"/>
            </w:pPr>
            <w:r>
              <w:rPr>
                <w:rFonts w:ascii="仿宋_GB2312" w:hAnsi="仿宋_GB2312" w:cs="仿宋_GB2312" w:eastAsia="仿宋_GB2312"/>
              </w:rPr>
              <w:t>产品的佐证材料</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针对本项目有具体实施方案，包含但不限于：备货、供货进度；保证措施；安装、调试、检测方案；安全保障措施；项目验收方案。 ①内容详细全面、层次清楚、完善可行的计8分； ②实施方案内容包含全面，但未针对各项内容进行详细描述的计6分； ③针对以上方案要求，仅有粗略框架，无具体针对性内容的计4分； ④有1项缺项的计2分； ⑤有2项及以上重大缺项的计1分；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产品的合法渠道证明文件</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质量保证方案包含但不限于：质量管理制度；产品设计、生产、检验等质量管控能力；产品使用寿命及效果；质量保证期限及质量保证范围；质量保证承诺及措施。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w:t>
            </w:r>
          </w:p>
        </w:tc>
      </w:tr>
      <w:tr>
        <w:tc>
          <w:tcPr>
            <w:tcW w:type="dxa" w:w="831"/>
            <w:vMerge/>
          </w:tcPr>
          <w:p/>
        </w:tc>
        <w:tc>
          <w:tcPr>
            <w:tcW w:type="dxa" w:w="1661"/>
          </w:tcPr>
          <w:p>
            <w:pPr>
              <w:pStyle w:val="null3"/>
            </w:pPr>
            <w:r>
              <w:rPr>
                <w:rFonts w:ascii="仿宋_GB2312" w:hAnsi="仿宋_GB2312" w:cs="仿宋_GB2312" w:eastAsia="仿宋_GB2312"/>
              </w:rPr>
              <w:t>履约能力方案</w:t>
            </w:r>
          </w:p>
        </w:tc>
        <w:tc>
          <w:tcPr>
            <w:tcW w:type="dxa" w:w="2492"/>
          </w:tcPr>
          <w:p>
            <w:pPr>
              <w:pStyle w:val="null3"/>
            </w:pPr>
            <w:r>
              <w:rPr>
                <w:rFonts w:ascii="仿宋_GB2312" w:hAnsi="仿宋_GB2312" w:cs="仿宋_GB2312" w:eastAsia="仿宋_GB2312"/>
              </w:rPr>
              <w:t>履约能力方案包含但不限于：资金筹措；仓储设施；运输工具；人员素质；管理水平。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以合同形式提供投标人2022年1月1日至今同类项目业绩，每份计1分，计满5分为止。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售后服务方案包含但不限于：售后服务承诺及措施；售后服务网点的设定；售后人员配置及安排计划；设备日常维护方案及措施；项目交付用户后出现故障响应时间及措施。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培训方案包含但不限于：培训目标；培训内容；培训方式；培训计划安排；人员安排。 ①内容详细全面、完整、完善可行的计8分； ②内容包含全面，但未针对各项内容进行详细描述的计6分； ③针对以上要求，有1项欠缺或无欠缺仅有粗略框架，无具体针对性内容的计4分； ④针对以上要求，有2项欠缺的计2分； ⑤有3项以上重大欠缺的计1分；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详见附件：选配件报价表（格式，若有）</w:t>
      </w:r>
    </w:p>
    <w:p>
      <w:pPr>
        <w:pStyle w:val="null3"/>
        <w:ind w:firstLine="960"/>
      </w:pPr>
      <w:r>
        <w:rPr>
          <w:rFonts w:ascii="仿宋_GB2312" w:hAnsi="仿宋_GB2312" w:cs="仿宋_GB2312" w:eastAsia="仿宋_GB2312"/>
        </w:rPr>
        <w:t>详见附件：技术规格响应偏离表（格式）</w:t>
      </w:r>
    </w:p>
    <w:p>
      <w:pPr>
        <w:pStyle w:val="null3"/>
        <w:ind w:firstLine="960"/>
      </w:pPr>
      <w:r>
        <w:rPr>
          <w:rFonts w:ascii="仿宋_GB2312" w:hAnsi="仿宋_GB2312" w:cs="仿宋_GB2312" w:eastAsia="仿宋_GB2312"/>
        </w:rPr>
        <w:t>详见附件：商务条款响应偏离表（格式）</w:t>
      </w:r>
    </w:p>
    <w:p>
      <w:pPr>
        <w:pStyle w:val="null3"/>
        <w:ind w:firstLine="960"/>
      </w:pPr>
      <w:r>
        <w:rPr>
          <w:rFonts w:ascii="仿宋_GB2312" w:hAnsi="仿宋_GB2312" w:cs="仿宋_GB2312" w:eastAsia="仿宋_GB2312"/>
        </w:rPr>
        <w:t>详见附件：法定代表人授权书（格式）</w:t>
      </w:r>
    </w:p>
    <w:p>
      <w:pPr>
        <w:pStyle w:val="null3"/>
        <w:ind w:firstLine="960"/>
      </w:pPr>
      <w:r>
        <w:rPr>
          <w:rFonts w:ascii="仿宋_GB2312" w:hAnsi="仿宋_GB2312" w:cs="仿宋_GB2312" w:eastAsia="仿宋_GB2312"/>
        </w:rPr>
        <w:t>详见附件：承诺书（格式）</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详见附件：产品的佐证材料</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详见附件：产品的合法渠道证明文件</w:t>
      </w:r>
    </w:p>
    <w:p>
      <w:pPr>
        <w:pStyle w:val="null3"/>
        <w:ind w:firstLine="960"/>
      </w:pPr>
      <w:r>
        <w:rPr>
          <w:rFonts w:ascii="仿宋_GB2312" w:hAnsi="仿宋_GB2312" w:cs="仿宋_GB2312" w:eastAsia="仿宋_GB2312"/>
        </w:rPr>
        <w:t>详见附件：质量保证方案</w:t>
      </w:r>
    </w:p>
    <w:p>
      <w:pPr>
        <w:pStyle w:val="null3"/>
        <w:ind w:firstLine="960"/>
      </w:pPr>
      <w:r>
        <w:rPr>
          <w:rFonts w:ascii="仿宋_GB2312" w:hAnsi="仿宋_GB2312" w:cs="仿宋_GB2312" w:eastAsia="仿宋_GB2312"/>
        </w:rPr>
        <w:t>详见附件：履约能力方案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详见附件：培训方案</w:t>
      </w:r>
    </w:p>
    <w:p>
      <w:pPr>
        <w:pStyle w:val="null3"/>
        <w:ind w:firstLine="960"/>
      </w:pPr>
      <w:r>
        <w:rPr>
          <w:rFonts w:ascii="仿宋_GB2312" w:hAnsi="仿宋_GB2312" w:cs="仿宋_GB2312" w:eastAsia="仿宋_GB2312"/>
        </w:rPr>
        <w:t>详见附件：投标人认为有必要说明的事宜（若有）</w:t>
      </w:r>
    </w:p>
    <w:p>
      <w:pPr>
        <w:pStyle w:val="null3"/>
        <w:ind w:firstLine="960"/>
      </w:pPr>
      <w:r>
        <w:rPr>
          <w:rFonts w:ascii="仿宋_GB2312" w:hAnsi="仿宋_GB2312" w:cs="仿宋_GB2312" w:eastAsia="仿宋_GB2312"/>
        </w:rPr>
        <w:t>详见附件：《投标人参与政府采购活动的承诺函》（格式）</w:t>
      </w:r>
    </w:p>
    <w:p>
      <w:pPr>
        <w:pStyle w:val="null3"/>
        <w:ind w:firstLine="960"/>
      </w:pPr>
      <w:r>
        <w:rPr>
          <w:rFonts w:ascii="仿宋_GB2312" w:hAnsi="仿宋_GB2312" w:cs="仿宋_GB2312" w:eastAsia="仿宋_GB2312"/>
        </w:rPr>
        <w:t>详见附件：拒绝政府采购领域商业贿赂承诺书（格式）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