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版本号：QXZC-GK2026A00220260120001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乾县王村小学教学及办公设备采购项目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QXZC-GK2026A002</w:t>
      </w:r>
      <w:r>
        <w:br/>
      </w:r>
      <w:r>
        <w:br/>
      </w:r>
      <w:r>
        <w:br/>
      </w:r>
    </w:p>
    <w:p>
      <w:pPr>
        <w:pStyle w:val="null3"/>
        <w:jc w:val="center"/>
        <w:outlineLvl w:val="2"/>
      </w:pPr>
      <w:r>
        <w:rPr>
          <w:rFonts w:ascii="仿宋_GB2312" w:hAnsi="仿宋_GB2312" w:cs="仿宋_GB2312" w:eastAsia="仿宋_GB2312"/>
          <w:sz w:val="28"/>
          <w:b/>
        </w:rPr>
        <w:t>乾县王村中心小学</w:t>
      </w:r>
    </w:p>
    <w:p>
      <w:pPr>
        <w:pStyle w:val="null3"/>
        <w:jc w:val="center"/>
        <w:outlineLvl w:val="2"/>
      </w:pPr>
      <w:r>
        <w:rPr>
          <w:rFonts w:ascii="仿宋_GB2312" w:hAnsi="仿宋_GB2312" w:cs="仿宋_GB2312" w:eastAsia="仿宋_GB2312"/>
          <w:sz w:val="28"/>
          <w:b/>
        </w:rPr>
        <w:t>乾县政府采购中心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乾县政府采购中心</w:t>
      </w:r>
      <w:r>
        <w:rPr>
          <w:rFonts w:ascii="仿宋_GB2312" w:hAnsi="仿宋_GB2312" w:cs="仿宋_GB2312" w:eastAsia="仿宋_GB2312"/>
        </w:rPr>
        <w:t>（以下简称“代理机构”）受</w:t>
      </w:r>
      <w:r>
        <w:rPr>
          <w:rFonts w:ascii="仿宋_GB2312" w:hAnsi="仿宋_GB2312" w:cs="仿宋_GB2312" w:eastAsia="仿宋_GB2312"/>
        </w:rPr>
        <w:t>乾县王村中心小学</w:t>
      </w:r>
      <w:r>
        <w:rPr>
          <w:rFonts w:ascii="仿宋_GB2312" w:hAnsi="仿宋_GB2312" w:cs="仿宋_GB2312" w:eastAsia="仿宋_GB2312"/>
        </w:rPr>
        <w:t>委托，拟对</w:t>
      </w:r>
      <w:r>
        <w:rPr>
          <w:rFonts w:ascii="仿宋_GB2312" w:hAnsi="仿宋_GB2312" w:cs="仿宋_GB2312" w:eastAsia="仿宋_GB2312"/>
        </w:rPr>
        <w:t>乾县王村小学教学及办公设备采购项目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QXZC-GK2026A002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乾县王村小学教学及办公设备采购项目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智慧黑板12套、备授课白板软件12套、学生管理软件12套、教学管理软件12套、AI教学软件12套、视频展台12台、OPS插拔式电脑12台、A4黑白打印机4台。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其他组织或自然人。企业法人应提供合法有效的标识有统一社会信用代码的营业执照及2024年企业年度报告书；事业法人应提供事业单位法人证书；其他组织应提供合法登记证明文件；自然人应提供提供身份证</w:t>
      </w:r>
    </w:p>
    <w:p>
      <w:pPr>
        <w:pStyle w:val="null3"/>
      </w:pPr>
      <w:r>
        <w:rPr>
          <w:rFonts w:ascii="仿宋_GB2312" w:hAnsi="仿宋_GB2312" w:cs="仿宋_GB2312" w:eastAsia="仿宋_GB2312"/>
        </w:rPr>
        <w:t>2、财务状况及报告：提供2024年度完整的财务审计报告或开标时间前三个月内基本账户银行出具的资信证明，成立时间至提交投标文件递交截止时间不足一年的，须提供其基本存款账户开户银行近三个月内出具的银行资信证明或自成立以来的财务报表；</w:t>
      </w:r>
    </w:p>
    <w:p>
      <w:pPr>
        <w:pStyle w:val="null3"/>
      </w:pPr>
      <w:r>
        <w:rPr>
          <w:rFonts w:ascii="仿宋_GB2312" w:hAnsi="仿宋_GB2312" w:cs="仿宋_GB2312" w:eastAsia="仿宋_GB2312"/>
        </w:rPr>
        <w:t>3、社会保障资金缴纳证明：提供截止至开标时间前6个月内任意一个月的社保缴纳凭据或社保机构开具的社会保险参保缴纳情况证明；（依法不需要缴纳社会保障资金的投标人应提供相关证明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4、税收缴纳证明：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p>
      <w:pPr>
        <w:pStyle w:val="null3"/>
      </w:pPr>
      <w:r>
        <w:rPr>
          <w:rFonts w:ascii="仿宋_GB2312" w:hAnsi="仿宋_GB2312" w:cs="仿宋_GB2312" w:eastAsia="仿宋_GB2312"/>
        </w:rPr>
        <w:t>5、书面声明：参加本次政府采购活动前3年内在经营活动中没有重大违纪的书面声明</w:t>
      </w:r>
    </w:p>
    <w:p>
      <w:pPr>
        <w:pStyle w:val="null3"/>
      </w:pPr>
      <w:r>
        <w:rPr>
          <w:rFonts w:ascii="仿宋_GB2312" w:hAnsi="仿宋_GB2312" w:cs="仿宋_GB2312" w:eastAsia="仿宋_GB2312"/>
        </w:rPr>
        <w:t>6、法人身份证明或法定代表人授权书：法定代表人直接参加投标的，须出具法人身份证明（含法人身份证原件、复印件及近6个月内任意一月社保参保证明）；法定代表人授权代表参加投标的，须出具法定代表人授权书（含法人、被授权人身份证复印件）、被授权人身份证原件及近6个月内任意一月社保参保证明</w:t>
      </w:r>
    </w:p>
    <w:p>
      <w:pPr>
        <w:pStyle w:val="null3"/>
      </w:pPr>
      <w:r>
        <w:rPr>
          <w:rFonts w:ascii="仿宋_GB2312" w:hAnsi="仿宋_GB2312" w:cs="仿宋_GB2312" w:eastAsia="仿宋_GB2312"/>
        </w:rPr>
        <w:t>7、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rFonts w:ascii="仿宋_GB2312" w:hAnsi="仿宋_GB2312" w:cs="仿宋_GB2312" w:eastAsia="仿宋_GB2312"/>
        </w:rPr>
        <w:t>8、非联合体投标：本项目要求独立法人，不接受联合体投标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乾县王村中心小学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王村镇街道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乾县王村小学经办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029-35350777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乾县政府采购中心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乾县东新街15号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许先生/王先生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029-35521143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采购包1：404,900.00元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A4黑白打印机、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A4黑白打印机、</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乾县王村中心小学</w:t>
      </w:r>
      <w:r>
        <w:rPr>
          <w:rFonts w:ascii="仿宋_GB2312" w:hAnsi="仿宋_GB2312" w:cs="仿宋_GB2312" w:eastAsia="仿宋_GB2312"/>
        </w:rPr>
        <w:t>和</w:t>
      </w:r>
      <w:r>
        <w:rPr>
          <w:rFonts w:ascii="仿宋_GB2312" w:hAnsi="仿宋_GB2312" w:cs="仿宋_GB2312" w:eastAsia="仿宋_GB2312"/>
        </w:rPr>
        <w:t>乾县政府采购中心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乾县王村中心小学</w:t>
      </w:r>
      <w:r>
        <w:rPr>
          <w:rFonts w:ascii="仿宋_GB2312" w:hAnsi="仿宋_GB2312" w:cs="仿宋_GB2312" w:eastAsia="仿宋_GB2312"/>
        </w:rPr>
        <w:t>负责解释。除上述招标文件内容，其他内容由</w:t>
      </w:r>
      <w:r>
        <w:rPr>
          <w:rFonts w:ascii="仿宋_GB2312" w:hAnsi="仿宋_GB2312" w:cs="仿宋_GB2312" w:eastAsia="仿宋_GB2312"/>
        </w:rPr>
        <w:t>乾县政府采购中心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乾县王村中心小学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乾县政府采购中心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联系人：许先生/王先生</w:t>
      </w:r>
    </w:p>
    <w:p>
      <w:pPr>
        <w:pStyle w:val="null3"/>
      </w:pPr>
      <w:r>
        <w:rPr>
          <w:rFonts w:ascii="仿宋_GB2312" w:hAnsi="仿宋_GB2312" w:cs="仿宋_GB2312" w:eastAsia="仿宋_GB2312"/>
        </w:rPr>
        <w:t>联系电话：029-35521143</w:t>
      </w:r>
    </w:p>
    <w:p>
      <w:pPr>
        <w:pStyle w:val="null3"/>
      </w:pPr>
      <w:r>
        <w:rPr>
          <w:rFonts w:ascii="仿宋_GB2312" w:hAnsi="仿宋_GB2312" w:cs="仿宋_GB2312" w:eastAsia="仿宋_GB2312"/>
        </w:rPr>
        <w:t>地址：乾县东新街15号</w:t>
      </w:r>
    </w:p>
    <w:p>
      <w:pPr>
        <w:pStyle w:val="null3"/>
      </w:pPr>
      <w:r>
        <w:rPr>
          <w:rFonts w:ascii="仿宋_GB2312" w:hAnsi="仿宋_GB2312" w:cs="仿宋_GB2312" w:eastAsia="仿宋_GB2312"/>
        </w:rPr>
        <w:t>邮编：713300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智慧黑板12套、备授课白板软件12套、学生管理软件12套、教学管理软件12套、AI教学软件12套、视频展台12台、OPS插拔式电脑12台、A4黑白打印机4台。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404,900.00</w:t>
      </w:r>
    </w:p>
    <w:p>
      <w:pPr>
        <w:pStyle w:val="null3"/>
      </w:pPr>
      <w:r>
        <w:rPr>
          <w:rFonts w:ascii="仿宋_GB2312" w:hAnsi="仿宋_GB2312" w:cs="仿宋_GB2312" w:eastAsia="仿宋_GB2312"/>
        </w:rPr>
        <w:t>采购包最高限价（元）: 404,900.00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智慧黑板备授课白板软件学生管理软件教学管理软件AI教学软件视频展台OPS插拔式电脑打印机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404,900.00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标的名称：智慧黑板备授课白板软件学生管理软件教学管理软件AI教学软件视频展台OPS插拔式电脑打印机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40"/>
              <w:tblBorders>
                <w:top w:val="none" w:color="000000" w:sz="4"/>
                <w:left w:val="none" w:color="000000" w:sz="4"/>
                <w:bottom w:val="none" w:color="000000" w:sz="4"/>
                <w:right w:val="none" w:color="000000" w:sz="4"/>
                <w:insideH w:val="none"/>
                <w:insideV w:val="none"/>
              </w:tblBorders>
            </w:tblPr>
            <w:tblGrid>
              <w:gridCol w:w="86"/>
              <w:gridCol w:w="135"/>
              <w:gridCol w:w="2000"/>
              <w:gridCol w:w="169"/>
              <w:gridCol w:w="163"/>
            </w:tblGrid>
            <w:tr>
              <w:tc>
                <w:tcPr>
                  <w:tcW w:type="dxa" w:w="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20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智慧黑板</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1.主屏幕显示不低于85英寸LED液晶屏，屏幕分辨率不低于3840*2160，屏幕表面采用全钢化防眩光玻璃</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2.采用红外或电容触控方式，支持30点或以上触控。</w:t>
                  </w:r>
                  <w:r>
                    <w:br/>
                  </w:r>
                  <w:r>
                    <w:rPr>
                      <w:rFonts w:ascii="仿宋_GB2312" w:hAnsi="仿宋_GB2312" w:cs="仿宋_GB2312" w:eastAsia="仿宋_GB2312"/>
                      <w:sz w:val="20"/>
                      <w:color w:val="000000"/>
                    </w:rPr>
                    <w:t>3.整机内置2.0声道扬声器，额定总功率不低于30W。</w:t>
                  </w:r>
                  <w:r>
                    <w:br/>
                  </w:r>
                  <w:r>
                    <w:rPr>
                      <w:rFonts w:ascii="仿宋_GB2312" w:hAnsi="仿宋_GB2312" w:cs="仿宋_GB2312" w:eastAsia="仿宋_GB2312"/>
                      <w:sz w:val="20"/>
                      <w:color w:val="000000"/>
                    </w:rPr>
                    <w:t>4.整机具有减滤蓝光功能，可通过前置面板物理功能按键一键启用护眼模式。</w:t>
                  </w:r>
                  <w:r>
                    <w:br/>
                  </w:r>
                  <w:r>
                    <w:rPr>
                      <w:rFonts w:ascii="仿宋_GB2312" w:hAnsi="仿宋_GB2312" w:cs="仿宋_GB2312" w:eastAsia="仿宋_GB2312"/>
                      <w:sz w:val="20"/>
                      <w:color w:val="000000"/>
                    </w:rPr>
                    <w:t>5.设备支持前置物理按键一键启动录屏功能。</w:t>
                  </w:r>
                  <w:r>
                    <w:br/>
                  </w:r>
                  <w:r>
                    <w:rPr>
                      <w:rFonts w:ascii="仿宋_GB2312" w:hAnsi="仿宋_GB2312" w:cs="仿宋_GB2312" w:eastAsia="仿宋_GB2312"/>
                      <w:sz w:val="20"/>
                      <w:color w:val="000000"/>
                    </w:rPr>
                    <w:t>6.整机内置非独立摄像头，</w:t>
                  </w:r>
                  <w:r>
                    <w:rPr>
                      <w:rFonts w:ascii="仿宋_GB2312" w:hAnsi="仿宋_GB2312" w:cs="仿宋_GB2312" w:eastAsia="仿宋_GB2312"/>
                      <w:sz w:val="20"/>
                      <w:color w:val="0000FF"/>
                    </w:rPr>
                    <w:t>分辨率</w:t>
                  </w:r>
                  <w:r>
                    <w:rPr>
                      <w:rFonts w:ascii="仿宋_GB2312" w:hAnsi="仿宋_GB2312" w:cs="仿宋_GB2312" w:eastAsia="仿宋_GB2312"/>
                      <w:sz w:val="20"/>
                      <w:color w:val="000000"/>
                    </w:rPr>
                    <w:t>≥4000万像素数。</w:t>
                  </w:r>
                </w:p>
                <w:p>
                  <w:pPr>
                    <w:pStyle w:val="null3"/>
                    <w:jc w:val="left"/>
                  </w:pPr>
                  <w:r>
                    <w:rPr>
                      <w:rFonts w:ascii="仿宋_GB2312" w:hAnsi="仿宋_GB2312" w:cs="仿宋_GB2312" w:eastAsia="仿宋_GB2312"/>
                      <w:sz w:val="20"/>
                      <w:color w:val="000000"/>
                    </w:rPr>
                    <w:t>7.整机Windows通道支持文件传输应用，支持通过扫码、wifi直联等方式与手机进行连接，实现文件传输功能。</w:t>
                  </w:r>
                  <w:r>
                    <w:br/>
                  </w:r>
                  <w:r>
                    <w:rPr>
                      <w:rFonts w:ascii="仿宋_GB2312" w:hAnsi="仿宋_GB2312" w:cs="仿宋_GB2312" w:eastAsia="仿宋_GB2312"/>
                      <w:sz w:val="20"/>
                      <w:color w:val="000000"/>
                    </w:rPr>
                    <w:t>8.整机内置双WiFi6无线网卡，可实现Wi-Fi无线上网连接、AP无线热点发射。</w:t>
                  </w:r>
                </w:p>
                <w:p>
                  <w:pPr>
                    <w:pStyle w:val="null3"/>
                    <w:jc w:val="left"/>
                  </w:pPr>
                  <w:r>
                    <w:rPr>
                      <w:rFonts w:ascii="仿宋_GB2312" w:hAnsi="仿宋_GB2312" w:cs="仿宋_GB2312" w:eastAsia="仿宋_GB2312"/>
                      <w:sz w:val="20"/>
                      <w:color w:val="000000"/>
                    </w:rPr>
                    <w:t>9.整机不低于支持蓝牙Bluetooth 5.0标准</w:t>
                  </w:r>
                  <w:r>
                    <w:br/>
                  </w:r>
                  <w:r>
                    <w:rPr>
                      <w:rFonts w:ascii="仿宋_GB2312" w:hAnsi="仿宋_GB2312" w:cs="仿宋_GB2312" w:eastAsia="仿宋_GB2312"/>
                      <w:sz w:val="20"/>
                      <w:color w:val="000000"/>
                    </w:rPr>
                    <w:t>10.嵌入式系统版本不低于Android 14，内存≥2G，存储内置≥8G。</w:t>
                  </w:r>
                </w:p>
                <w:p>
                  <w:pPr>
                    <w:pStyle w:val="null3"/>
                    <w:jc w:val="left"/>
                  </w:pPr>
                  <w:r>
                    <w:rPr>
                      <w:rFonts w:ascii="仿宋_GB2312" w:hAnsi="仿宋_GB2312" w:cs="仿宋_GB2312" w:eastAsia="仿宋_GB2312"/>
                      <w:sz w:val="20"/>
                      <w:color w:val="000000"/>
                    </w:rPr>
                    <w:t>11.整机嵌入式芯片内置不低于1 TOPS AI算力，可用于AI图像、音频处理。</w:t>
                  </w:r>
                </w:p>
                <w:p>
                  <w:pPr>
                    <w:pStyle w:val="null3"/>
                    <w:jc w:val="left"/>
                  </w:pPr>
                  <w:r>
                    <w:rPr>
                      <w:rFonts w:ascii="仿宋_GB2312" w:hAnsi="仿宋_GB2312" w:cs="仿宋_GB2312" w:eastAsia="仿宋_GB2312"/>
                      <w:sz w:val="20"/>
                      <w:color w:val="000000"/>
                    </w:rPr>
                    <w:t>12.整机侧边栏内置朗读工具，通过整机麦克风内置音频检测算法监测教室中学生的朗读情况。</w:t>
                  </w:r>
                  <w:r>
                    <w:br/>
                  </w:r>
                  <w:r>
                    <w:rPr>
                      <w:rFonts w:ascii="仿宋_GB2312" w:hAnsi="仿宋_GB2312" w:cs="仿宋_GB2312" w:eastAsia="仿宋_GB2312"/>
                      <w:sz w:val="20"/>
                      <w:color w:val="000000"/>
                    </w:rPr>
                    <w:t>13.整机侧边栏内置自习工具，通过整机麦克风内置AI音频检测算法监测教室中学生音量大小，当学生音量大于阈值时，屏幕自动弹窗提醒进行自习纪律干预。</w:t>
                  </w:r>
                  <w:r>
                    <w:br/>
                  </w:r>
                  <w:r>
                    <w:rPr>
                      <w:rFonts w:ascii="仿宋_GB2312" w:hAnsi="仿宋_GB2312" w:cs="仿宋_GB2312" w:eastAsia="仿宋_GB2312"/>
                      <w:sz w:val="20"/>
                      <w:color w:val="000000"/>
                    </w:rPr>
                    <w:t>14.整机内置的阵列麦支持在无任何外部设备的情况下，实时录制用户朗读内容，识别用户声纹并进行统一身份登录操作，登录后自动获取个人云端教学课件列表，打开教学白板软件时可跳过软件自带登录步骤。</w:t>
                  </w:r>
                </w:p>
                <w:p>
                  <w:pPr>
                    <w:pStyle w:val="null3"/>
                    <w:jc w:val="left"/>
                  </w:pPr>
                  <w:r>
                    <w:rPr>
                      <w:rFonts w:ascii="仿宋_GB2312" w:hAnsi="仿宋_GB2312" w:cs="仿宋_GB2312" w:eastAsia="仿宋_GB2312"/>
                      <w:sz w:val="20"/>
                      <w:color w:val="000000"/>
                    </w:rPr>
                    <w:t>15.安装辅材：网线，电源线，插板，线槽，自攻丝，胀管，插头，电工胶布，水晶头，黄纳管等</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备授课白板软件</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备授课一体化，具有备课模式及授课模式，且操作界面根据备课和授课使用场景不同而区别设计。</w:t>
                  </w:r>
                  <w:r>
                    <w:br/>
                  </w:r>
                  <w:r>
                    <w:rPr>
                      <w:rFonts w:ascii="仿宋_GB2312" w:hAnsi="仿宋_GB2312" w:cs="仿宋_GB2312" w:eastAsia="仿宋_GB2312"/>
                      <w:sz w:val="21"/>
                      <w:color w:val="000000"/>
                    </w:rPr>
                    <w:t>2、电子白板软件提供至少三种登录方式，所有应用模块的入口均在统一界面上，包括教师云空间、课件资源库、云直播课堂、校本资源库等功能。</w:t>
                  </w:r>
                </w:p>
                <w:p>
                  <w:pPr>
                    <w:pStyle w:val="null3"/>
                    <w:jc w:val="left"/>
                  </w:pPr>
                  <w:r>
                    <w:rPr>
                      <w:rFonts w:ascii="仿宋_GB2312" w:hAnsi="仿宋_GB2312" w:cs="仿宋_GB2312" w:eastAsia="仿宋_GB2312"/>
                      <w:sz w:val="21"/>
                      <w:color w:val="000000"/>
                    </w:rPr>
                    <w:t>3、支持用户在软件中打开pptx格式文件，且用户可在软件中自由编辑原文件中的图片、文字、表格等元素，并支持修改原文件中的动画。</w:t>
                  </w:r>
                  <w:r>
                    <w:br/>
                  </w:r>
                  <w:r>
                    <w:rPr>
                      <w:rFonts w:ascii="仿宋_GB2312" w:hAnsi="仿宋_GB2312" w:cs="仿宋_GB2312" w:eastAsia="仿宋_GB2312"/>
                      <w:sz w:val="21"/>
                      <w:color w:val="000000"/>
                    </w:rPr>
                    <w:t>4、文本框：支持文本输入并可快速设置文本属性。可对文本的对齐、缩进、行高等进行设置。</w:t>
                  </w:r>
                </w:p>
                <w:p>
                  <w:pPr>
                    <w:pStyle w:val="null3"/>
                    <w:jc w:val="left"/>
                  </w:pPr>
                  <w:r>
                    <w:rPr>
                      <w:rFonts w:ascii="仿宋_GB2312" w:hAnsi="仿宋_GB2312" w:cs="仿宋_GB2312" w:eastAsia="仿宋_GB2312"/>
                      <w:sz w:val="21"/>
                      <w:color w:val="000000"/>
                    </w:rPr>
                    <w:t>5、多媒体导入：支持导入图片、音视频等多媒体文件。</w:t>
                  </w:r>
                  <w:r>
                    <w:br/>
                  </w:r>
                  <w:r>
                    <w:rPr>
                      <w:rFonts w:ascii="仿宋_GB2312" w:hAnsi="仿宋_GB2312" w:cs="仿宋_GB2312" w:eastAsia="仿宋_GB2312"/>
                      <w:sz w:val="21"/>
                      <w:color w:val="000000"/>
                    </w:rPr>
                    <w:t>6、提供专门的白板软件手机版，在手机上登录账号后，支持以列表的方式查看该账号里所有的云课件，支持在手机上进行思维导图、课堂活动等操作。</w:t>
                  </w:r>
                  <w:r>
                    <w:br/>
                  </w:r>
                  <w:r>
                    <w:rPr>
                      <w:rFonts w:ascii="仿宋_GB2312" w:hAnsi="仿宋_GB2312" w:cs="仿宋_GB2312" w:eastAsia="仿宋_GB2312"/>
                      <w:sz w:val="21"/>
                      <w:color w:val="000000"/>
                    </w:rPr>
                    <w:t>7、支持通过U盘制作U盘钥匙快速登录账号，并同步云端课件。</w:t>
                  </w:r>
                  <w:r>
                    <w:br/>
                  </w:r>
                  <w:r>
                    <w:rPr>
                      <w:rFonts w:ascii="仿宋_GB2312" w:hAnsi="仿宋_GB2312" w:cs="仿宋_GB2312" w:eastAsia="仿宋_GB2312"/>
                      <w:sz w:val="21"/>
                      <w:color w:val="000000"/>
                    </w:rPr>
                    <w:t>8、具有在课件中一键生成评课和课件分享二维码。</w:t>
                  </w:r>
                  <w:r>
                    <w:br/>
                  </w:r>
                  <w:r>
                    <w:rPr>
                      <w:rFonts w:ascii="仿宋_GB2312" w:hAnsi="仿宋_GB2312" w:cs="仿宋_GB2312" w:eastAsia="仿宋_GB2312"/>
                      <w:sz w:val="21"/>
                      <w:color w:val="000000"/>
                    </w:rPr>
                    <w:t>9、提供教学设计功能，支持教师根据教学需要自主添加课堂活动。</w:t>
                  </w:r>
                  <w:r>
                    <w:br/>
                  </w:r>
                  <w:r>
                    <w:rPr>
                      <w:rFonts w:ascii="仿宋_GB2312" w:hAnsi="仿宋_GB2312" w:cs="仿宋_GB2312" w:eastAsia="仿宋_GB2312"/>
                      <w:sz w:val="21"/>
                      <w:color w:val="000000"/>
                    </w:rPr>
                    <w:t>10、分组竞争游戏：支持创建分组竞争游戏，教师可设置正确项／干扰项，让两组学生开展竞争游戏。系统提供≥3种难度、≥10种游戏模板选择。</w:t>
                  </w:r>
                  <w:r>
                    <w:br/>
                  </w:r>
                  <w:r>
                    <w:rPr>
                      <w:rFonts w:ascii="仿宋_GB2312" w:hAnsi="仿宋_GB2312" w:cs="仿宋_GB2312" w:eastAsia="仿宋_GB2312"/>
                      <w:sz w:val="21"/>
                      <w:color w:val="000000"/>
                    </w:rPr>
                    <w:t>11、支持在备授课软件中一键录制教学小视频：个人空间支持语音识别转文字，支持视频内课件控制，支持在个人空间查看录制数量、累计时长数据。</w:t>
                  </w:r>
                  <w:r>
                    <w:br/>
                  </w:r>
                  <w:r>
                    <w:rPr>
                      <w:rFonts w:ascii="仿宋_GB2312" w:hAnsi="仿宋_GB2312" w:cs="仿宋_GB2312" w:eastAsia="仿宋_GB2312"/>
                      <w:sz w:val="21"/>
                      <w:color w:val="000000"/>
                    </w:rPr>
                    <w:t>12、思维导图总结联系：支持对思维导图任意相邻节点进行总结，老师知识点的总结呈现，同时在节点引出联系内容，知识点的关联和总结。系统自带关联和总结方式，且模板样式支持自定义修改。</w:t>
                  </w:r>
                  <w:r>
                    <w:br/>
                  </w:r>
                  <w:r>
                    <w:rPr>
                      <w:rFonts w:ascii="仿宋_GB2312" w:hAnsi="仿宋_GB2312" w:cs="仿宋_GB2312" w:eastAsia="仿宋_GB2312"/>
                      <w:sz w:val="21"/>
                      <w:color w:val="000000"/>
                    </w:rPr>
                    <w:t>13、AI智能英语听写工具：配合英语学科听写工具，覆盖小初高不少于8000个英语单词及多个常用教材版本，单词内容与教材章节相匹配，支持自定义选择单词。</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学生管理软件</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基础功能：</w:t>
                  </w:r>
                  <w:r>
                    <w:br/>
                  </w:r>
                  <w:r>
                    <w:rPr>
                      <w:rFonts w:ascii="仿宋_GB2312" w:hAnsi="仿宋_GB2312" w:cs="仿宋_GB2312" w:eastAsia="仿宋_GB2312"/>
                      <w:sz w:val="21"/>
                      <w:color w:val="000000"/>
                    </w:rPr>
                    <w:t>1、支持通过数字账号、微信二维码、硬件密钥方式登录教师个人账号。</w:t>
                  </w:r>
                  <w:r>
                    <w:br/>
                  </w:r>
                  <w:r>
                    <w:rPr>
                      <w:rFonts w:ascii="仿宋_GB2312" w:hAnsi="仿宋_GB2312" w:cs="仿宋_GB2312" w:eastAsia="仿宋_GB2312"/>
                      <w:sz w:val="21"/>
                      <w:color w:val="000000"/>
                    </w:rPr>
                    <w:t>2、移动端支持教师/家长双重身份无缝切换，软件内可直接切换账户类型，无需安装多个APP应用或退出账号重新登录。</w:t>
                  </w:r>
                  <w:r>
                    <w:br/>
                  </w:r>
                  <w:r>
                    <w:rPr>
                      <w:rFonts w:ascii="仿宋_GB2312" w:hAnsi="仿宋_GB2312" w:cs="仿宋_GB2312" w:eastAsia="仿宋_GB2312"/>
                      <w:sz w:val="21"/>
                      <w:color w:val="000000"/>
                    </w:rPr>
                    <w:t>3、兼容多平台系统，可在PC、Web、安卓、iOS等系统使用，且各终端数据互通，教师可多场景下对学生进行管理与评价。</w:t>
                  </w:r>
                  <w:r>
                    <w:br/>
                  </w:r>
                  <w:r>
                    <w:rPr>
                      <w:rFonts w:ascii="仿宋_GB2312" w:hAnsi="仿宋_GB2312" w:cs="仿宋_GB2312" w:eastAsia="仿宋_GB2312"/>
                      <w:sz w:val="21"/>
                      <w:color w:val="000000"/>
                    </w:rPr>
                    <w:t>4、学生行为评价系统集成学校管理、教师管理、课堂表现评价、家校互联互通功能，所有功能同一软件平台的同一账户实现。</w:t>
                  </w:r>
                  <w:r>
                    <w:br/>
                  </w:r>
                  <w:r>
                    <w:rPr>
                      <w:rFonts w:ascii="仿宋_GB2312" w:hAnsi="仿宋_GB2312" w:cs="仿宋_GB2312" w:eastAsia="仿宋_GB2312"/>
                      <w:sz w:val="21"/>
                      <w:color w:val="000000"/>
                    </w:rPr>
                    <w:t>5、支持对家长进行定向邀请，家长入班后可查看学生在校表现并实时接收教师通知。</w:t>
                  </w:r>
                  <w:r>
                    <w:br/>
                  </w:r>
                  <w:r>
                    <w:rPr>
                      <w:rFonts w:ascii="仿宋_GB2312" w:hAnsi="仿宋_GB2312" w:cs="仿宋_GB2312" w:eastAsia="仿宋_GB2312"/>
                      <w:sz w:val="21"/>
                      <w:color w:val="000000"/>
                    </w:rPr>
                    <w:t>6、支持对任课教师进行定向邀请，教师入班后可协同对班级学生进行管理评价。</w:t>
                  </w:r>
                  <w:r>
                    <w:br/>
                  </w:r>
                  <w:r>
                    <w:rPr>
                      <w:rFonts w:ascii="仿宋_GB2312" w:hAnsi="仿宋_GB2312" w:cs="仿宋_GB2312" w:eastAsia="仿宋_GB2312"/>
                      <w:sz w:val="21"/>
                      <w:color w:val="000000"/>
                    </w:rPr>
                    <w:t>学生点评：</w:t>
                  </w:r>
                  <w:r>
                    <w:br/>
                  </w:r>
                  <w:r>
                    <w:rPr>
                      <w:rFonts w:ascii="仿宋_GB2312" w:hAnsi="仿宋_GB2312" w:cs="仿宋_GB2312" w:eastAsia="仿宋_GB2312"/>
                      <w:sz w:val="21"/>
                      <w:color w:val="000000"/>
                    </w:rPr>
                    <w:t>1、支持按学生或小组的首字母、总分、表扬分数、待改进分数等维度进行排序，方便老师快速找到需要评价的学生或小组。</w:t>
                  </w:r>
                  <w:r>
                    <w:br/>
                  </w:r>
                  <w:r>
                    <w:rPr>
                      <w:rFonts w:ascii="仿宋_GB2312" w:hAnsi="仿宋_GB2312" w:cs="仿宋_GB2312" w:eastAsia="仿宋_GB2312"/>
                      <w:sz w:val="21"/>
                      <w:color w:val="000000"/>
                    </w:rPr>
                    <w:t>2、提供TBL\PBL分组教学评价功能，教师可自由创建多个学生小组，支持对单个小组成员进行换组调整。同时提供快速随机分组功能，可快速将班级学生按照教师需求的组别数量进行随机分组。</w:t>
                  </w:r>
                  <w:r>
                    <w:br/>
                  </w:r>
                  <w:r>
                    <w:rPr>
                      <w:rFonts w:ascii="仿宋_GB2312" w:hAnsi="仿宋_GB2312" w:cs="仿宋_GB2312" w:eastAsia="仿宋_GB2312"/>
                      <w:sz w:val="21"/>
                      <w:color w:val="000000"/>
                    </w:rPr>
                    <w:t>3、根据评价得分情况，对应小组或学生的头像装饰产生相应变化，以游戏化方式激励学生积极参与课堂互动。</w:t>
                  </w:r>
                  <w:r>
                    <w:br/>
                  </w:r>
                  <w:r>
                    <w:rPr>
                      <w:rFonts w:ascii="仿宋_GB2312" w:hAnsi="仿宋_GB2312" w:cs="仿宋_GB2312" w:eastAsia="仿宋_GB2312"/>
                      <w:sz w:val="21"/>
                      <w:color w:val="000000"/>
                    </w:rPr>
                    <w:t>4、支持考勤功能，可对学生的出勤、迟到、缺勤、请假状态进行记录，并支持查看课堂考勤统计报表，可详细查看班级考勤概览数据。</w:t>
                  </w:r>
                  <w:r>
                    <w:br/>
                  </w:r>
                  <w:r>
                    <w:rPr>
                      <w:rFonts w:ascii="仿宋_GB2312" w:hAnsi="仿宋_GB2312" w:cs="仿宋_GB2312" w:eastAsia="仿宋_GB2312"/>
                      <w:sz w:val="21"/>
                      <w:color w:val="000000"/>
                    </w:rPr>
                    <w:t>5、支持网页端、PC授课端查看学生成长统计报表，按饼状图形式展现学生课堂表现情况，支持查看班级或学生个人情况，并可追溯每条评价的原因、对象、分值，便于教师进行精准评价。</w:t>
                  </w:r>
                  <w:r>
                    <w:br/>
                  </w:r>
                  <w:r>
                    <w:rPr>
                      <w:rFonts w:ascii="仿宋_GB2312" w:hAnsi="仿宋_GB2312" w:cs="仿宋_GB2312" w:eastAsia="仿宋_GB2312"/>
                      <w:sz w:val="21"/>
                      <w:color w:val="000000"/>
                    </w:rPr>
                    <w:t>6、手机端学生档案，支持从思想品德、社会实践、身心健康、学业水平、艺术素养五大维度分析和呈现学生发展情况。网页端学生成长统计档案支持导出excel格式的班级学生评价分数，也可以单个学生的形式导出pdf格式的成长档案。</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教学管理软件</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后台采用</w:t>
                  </w:r>
                  <w:r>
                    <w:rPr>
                      <w:rFonts w:ascii="仿宋_GB2312" w:hAnsi="仿宋_GB2312" w:cs="仿宋_GB2312" w:eastAsia="仿宋_GB2312"/>
                      <w:sz w:val="21"/>
                    </w:rPr>
                    <w:t>B/S架构设计，支持学校管理者在Windows、Linux、Android、IOS等多种不同的操作系统上通过网页浏览器登陆进行操作，可统计全校教师软件活跃数据、学生点评及课件上传等数据。</w:t>
                  </w:r>
                </w:p>
                <w:p>
                  <w:pPr>
                    <w:pStyle w:val="null3"/>
                    <w:numPr>
                      <w:ilvl w:val="0"/>
                      <w:numId w:val="1"/>
                    </w:numPr>
                    <w:jc w:val="both"/>
                  </w:pPr>
                  <w:r>
                    <w:rPr>
                      <w:rFonts w:ascii="仿宋_GB2312" w:hAnsi="仿宋_GB2312" w:cs="仿宋_GB2312" w:eastAsia="仿宋_GB2312"/>
                      <w:sz w:val="21"/>
                    </w:rPr>
                    <w:t>支持管理员及教师使用网页端、移动端登录，移动端支持查看网页端数据信息，教师榜单，并定期推送数据分析报表。</w:t>
                  </w:r>
                </w:p>
                <w:p>
                  <w:pPr>
                    <w:pStyle w:val="null3"/>
                    <w:numPr>
                      <w:ilvl w:val="0"/>
                      <w:numId w:val="1"/>
                    </w:numPr>
                    <w:jc w:val="both"/>
                  </w:pPr>
                  <w:r>
                    <w:rPr>
                      <w:rFonts w:ascii="仿宋_GB2312" w:hAnsi="仿宋_GB2312" w:cs="仿宋_GB2312" w:eastAsia="仿宋_GB2312"/>
                      <w:sz w:val="21"/>
                    </w:rPr>
                    <w:t>信息化数据雷达图：将信息化教学数据分多个维度进行评估，并与全省均值对比，学校信息化教学情况一目了然。</w:t>
                  </w:r>
                </w:p>
                <w:p>
                  <w:pPr>
                    <w:pStyle w:val="null3"/>
                    <w:numPr>
                      <w:ilvl w:val="0"/>
                      <w:numId w:val="1"/>
                    </w:numPr>
                    <w:jc w:val="both"/>
                  </w:pPr>
                  <w:r>
                    <w:rPr>
                      <w:rFonts w:ascii="仿宋_GB2312" w:hAnsi="仿宋_GB2312" w:cs="仿宋_GB2312" w:eastAsia="仿宋_GB2312"/>
                      <w:sz w:val="21"/>
                    </w:rPr>
                    <w:t>提升实力：一键分析学校信息化教学的待提升项，并将本校信息化教学数值与省最高值进行对比；同时可通过管理端督促教师开展信息化教学活动，并为管理者预测督促后可提升的指标，督促信息将通过短信触达教师。</w:t>
                  </w:r>
                </w:p>
                <w:p>
                  <w:pPr>
                    <w:pStyle w:val="null3"/>
                    <w:numPr>
                      <w:ilvl w:val="0"/>
                      <w:numId w:val="1"/>
                    </w:numPr>
                    <w:jc w:val="both"/>
                  </w:pPr>
                  <w:r>
                    <w:rPr>
                      <w:rFonts w:ascii="仿宋_GB2312" w:hAnsi="仿宋_GB2312" w:cs="仿宋_GB2312" w:eastAsia="仿宋_GB2312"/>
                      <w:sz w:val="21"/>
                    </w:rPr>
                    <w:t>教师考勤：具备教师</w:t>
                  </w:r>
                  <w:r>
                    <w:rPr>
                      <w:rFonts w:ascii="仿宋_GB2312" w:hAnsi="仿宋_GB2312" w:cs="仿宋_GB2312" w:eastAsia="仿宋_GB2312"/>
                      <w:sz w:val="21"/>
                    </w:rPr>
                    <w:t>GPS定位打卡考勤功能。学校管理员可设置考勤时间、考勤范围，还可以查看和导出考勤数据报表。教师可在移动端进行GPS考勤，到达学校范围后即激活打卡，支持入校、离校、迟到、早退等多种打卡类型。</w:t>
                  </w:r>
                </w:p>
                <w:p>
                  <w:pPr>
                    <w:pStyle w:val="null3"/>
                    <w:numPr>
                      <w:ilvl w:val="0"/>
                      <w:numId w:val="1"/>
                    </w:numPr>
                    <w:jc w:val="both"/>
                  </w:pPr>
                  <w:r>
                    <w:rPr>
                      <w:rFonts w:ascii="仿宋_GB2312" w:hAnsi="仿宋_GB2312" w:cs="仿宋_GB2312" w:eastAsia="仿宋_GB2312"/>
                      <w:sz w:val="21"/>
                    </w:rPr>
                    <w:t>教研结构：支持管理者按照学段</w:t>
                  </w:r>
                  <w:r>
                    <w:rPr>
                      <w:rFonts w:ascii="仿宋_GB2312" w:hAnsi="仿宋_GB2312" w:cs="仿宋_GB2312" w:eastAsia="仿宋_GB2312"/>
                      <w:sz w:val="21"/>
                    </w:rPr>
                    <w:t>-学科-年级快速创建教师的教研组织结构，方便教师信息的分类管理。</w:t>
                  </w:r>
                </w:p>
                <w:p>
                  <w:pPr>
                    <w:pStyle w:val="null3"/>
                    <w:numPr>
                      <w:ilvl w:val="0"/>
                      <w:numId w:val="1"/>
                    </w:numPr>
                    <w:jc w:val="left"/>
                  </w:pPr>
                  <w:r>
                    <w:rPr>
                      <w:rFonts w:ascii="仿宋_GB2312" w:hAnsi="仿宋_GB2312" w:cs="仿宋_GB2312" w:eastAsia="仿宋_GB2312"/>
                      <w:sz w:val="21"/>
                    </w:rPr>
                    <w:t>具备冰点还原功能，对本机所有数据永久保护。</w:t>
                  </w:r>
                </w:p>
                <w:p>
                  <w:pPr>
                    <w:pStyle w:val="null3"/>
                    <w:jc w:val="center"/>
                  </w:pP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AI</w:t>
                  </w:r>
                  <w:r>
                    <w:rPr>
                      <w:rFonts w:ascii="仿宋_GB2312" w:hAnsi="仿宋_GB2312" w:cs="仿宋_GB2312" w:eastAsia="仿宋_GB2312"/>
                      <w:sz w:val="21"/>
                    </w:rPr>
                    <w:t>教学软件</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1.课件主题匹配：支持输入课件主题，以及选择课件授课场景和授课类型生成课件，支持根据备课进度推荐课件主题，同时支持识别上传云课件、云教案以及本地化文件，让生成的课件内容更精准；</w:t>
                  </w:r>
                  <w:r>
                    <w:br/>
                  </w:r>
                  <w:r>
                    <w:rPr>
                      <w:rFonts w:ascii="仿宋_GB2312" w:hAnsi="仿宋_GB2312" w:cs="仿宋_GB2312" w:eastAsia="仿宋_GB2312"/>
                      <w:sz w:val="21"/>
                      <w:color w:val="000000"/>
                    </w:rPr>
                    <w:t>2.课件目标生成：匹配对应的教材版本、年级、主题生成对应的课件目标；</w:t>
                  </w:r>
                  <w:r>
                    <w:br/>
                  </w:r>
                  <w:r>
                    <w:rPr>
                      <w:rFonts w:ascii="仿宋_GB2312" w:hAnsi="仿宋_GB2312" w:cs="仿宋_GB2312" w:eastAsia="仿宋_GB2312"/>
                      <w:sz w:val="21"/>
                      <w:color w:val="000000"/>
                    </w:rPr>
                    <w:t>3.课件目标编辑：支持添加、删除、修改教学目标，支持手动编辑输入或人工智能生成对应的教学目标；支持通过人工智能把教学目标生成对应的教学大纲。</w:t>
                  </w:r>
                  <w:r>
                    <w:br/>
                  </w:r>
                  <w:r>
                    <w:rPr>
                      <w:rFonts w:ascii="仿宋_GB2312" w:hAnsi="仿宋_GB2312" w:cs="仿宋_GB2312" w:eastAsia="仿宋_GB2312"/>
                      <w:sz w:val="21"/>
                      <w:color w:val="000000"/>
                    </w:rPr>
                    <w:t>4.教学大纲生成：支持以思维导图的形式生成三级教学大纲，教学大纲可根据教学设计内容自动生成课堂活动、思维导图、学科工具等；</w:t>
                  </w:r>
                  <w:r>
                    <w:br/>
                  </w:r>
                  <w:r>
                    <w:rPr>
                      <w:rFonts w:ascii="仿宋_GB2312" w:hAnsi="仿宋_GB2312" w:cs="仿宋_GB2312" w:eastAsia="仿宋_GB2312"/>
                      <w:sz w:val="21"/>
                      <w:color w:val="000000"/>
                    </w:rPr>
                    <w:t>5.教学大纲编辑：支持添加二级、三级主题，可手动编辑教学主题，支持对二级主题进行AI拓展，不少于智能拓展、跨学科、新课标三类拓展方式；支持选择三级子主题节点内容，不少于互动、吸引两类节点内容，以AI生成三级子主题。设计界面支持放大缩小，编辑操作支持撤销、恢复。基于教学大纲生成符合教学目标的课件和教案；</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视频展台</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w:t>
                  </w:r>
                  <w:r>
                    <w:rPr>
                      <w:rFonts w:ascii="仿宋_GB2312" w:hAnsi="仿宋_GB2312" w:cs="仿宋_GB2312" w:eastAsia="仿宋_GB2312"/>
                      <w:sz w:val="21"/>
                    </w:rPr>
                    <w:t>USB高速接口，单根USB线实现供电、高清数据传输需求。</w:t>
                  </w:r>
                </w:p>
                <w:p>
                  <w:pPr>
                    <w:pStyle w:val="null3"/>
                    <w:jc w:val="left"/>
                  </w:pPr>
                  <w:r>
                    <w:rPr>
                      <w:rFonts w:ascii="仿宋_GB2312" w:hAnsi="仿宋_GB2312" w:cs="仿宋_GB2312" w:eastAsia="仿宋_GB2312"/>
                      <w:sz w:val="21"/>
                    </w:rPr>
                    <w:t>2.采用不低于</w:t>
                  </w:r>
                  <w:r>
                    <w:rPr>
                      <w:rFonts w:ascii="仿宋_GB2312" w:hAnsi="仿宋_GB2312" w:cs="仿宋_GB2312" w:eastAsia="仿宋_GB2312"/>
                      <w:sz w:val="21"/>
                    </w:rPr>
                    <w:t>1300W像素自动对焦摄像头，可拍摄A4画幅。</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采用一体式非活动悬臂设计，打开托板一个动作即可启动展台，实现画面拍摄和数据传输。</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OPS</w:t>
                  </w:r>
                  <w:r>
                    <w:rPr>
                      <w:rFonts w:ascii="仿宋_GB2312" w:hAnsi="仿宋_GB2312" w:cs="仿宋_GB2312" w:eastAsia="仿宋_GB2312"/>
                      <w:sz w:val="21"/>
                    </w:rPr>
                    <w:t>插拔式电脑</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1.采用抽拉内置式模块化电脑，可实现无单独接线的插拔</w:t>
                  </w:r>
                  <w:r>
                    <w:rPr>
                      <w:rFonts w:ascii="仿宋_GB2312" w:hAnsi="仿宋_GB2312" w:cs="仿宋_GB2312" w:eastAsia="仿宋_GB2312"/>
                      <w:sz w:val="21"/>
                      <w:color w:val="0000FF"/>
                    </w:rPr>
                    <w:t>，</w:t>
                  </w:r>
                  <w:r>
                    <w:rPr>
                      <w:rFonts w:ascii="仿宋_GB2312" w:hAnsi="仿宋_GB2312" w:cs="仿宋_GB2312" w:eastAsia="仿宋_GB2312"/>
                      <w:sz w:val="21"/>
                      <w:color w:val="000000"/>
                    </w:rPr>
                    <w:t>无需工具即可快速拆卸电脑模块。</w:t>
                  </w:r>
                  <w:r>
                    <w:br/>
                  </w:r>
                  <w:r>
                    <w:rPr>
                      <w:rFonts w:ascii="仿宋_GB2312" w:hAnsi="仿宋_GB2312" w:cs="仿宋_GB2312" w:eastAsia="仿宋_GB2312"/>
                      <w:sz w:val="21"/>
                      <w:color w:val="000000"/>
                    </w:rPr>
                    <w:t>2.</w:t>
                  </w:r>
                  <w:r>
                    <w:rPr>
                      <w:rFonts w:ascii="仿宋_GB2312" w:hAnsi="仿宋_GB2312" w:cs="仿宋_GB2312" w:eastAsia="仿宋_GB2312"/>
                      <w:sz w:val="21"/>
                      <w:color w:val="0000FF"/>
                    </w:rPr>
                    <w:t>CPU</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Intel 12代酷睿 i5 。内存：8GB DDR4笔记本内存或以上配置。硬盘：256GB SSD固态硬盘或以上配置。</w:t>
                  </w:r>
                  <w:r>
                    <w:br/>
                  </w:r>
                  <w:r>
                    <w:rPr>
                      <w:rFonts w:ascii="仿宋_GB2312" w:hAnsi="仿宋_GB2312" w:cs="仿宋_GB2312" w:eastAsia="仿宋_GB2312"/>
                      <w:sz w:val="21"/>
                      <w:color w:val="000000"/>
                    </w:rPr>
                    <w:t>3.具有</w:t>
                  </w:r>
                  <w:r>
                    <w:rPr>
                      <w:rFonts w:ascii="仿宋_GB2312" w:hAnsi="仿宋_GB2312" w:cs="仿宋_GB2312" w:eastAsia="仿宋_GB2312"/>
                      <w:sz w:val="21"/>
                      <w:color w:val="0000FF"/>
                    </w:rPr>
                    <w:t>多个</w:t>
                  </w:r>
                  <w:r>
                    <w:rPr>
                      <w:rFonts w:ascii="仿宋_GB2312" w:hAnsi="仿宋_GB2312" w:cs="仿宋_GB2312" w:eastAsia="仿宋_GB2312"/>
                      <w:sz w:val="21"/>
                      <w:color w:val="000000"/>
                    </w:rPr>
                    <w:t>独立非外扩展的电脑</w:t>
                  </w:r>
                  <w:r>
                    <w:rPr>
                      <w:rFonts w:ascii="仿宋_GB2312" w:hAnsi="仿宋_GB2312" w:cs="仿宋_GB2312" w:eastAsia="仿宋_GB2312"/>
                      <w:sz w:val="21"/>
                      <w:color w:val="000000"/>
                    </w:rPr>
                    <w:t>USB接口USB3.0 接口</w:t>
                  </w:r>
                  <w:r>
                    <w:rPr>
                      <w:rFonts w:ascii="仿宋_GB2312" w:hAnsi="仿宋_GB2312" w:cs="仿宋_GB2312" w:eastAsia="仿宋_GB2312"/>
                      <w:sz w:val="21"/>
                      <w:color w:val="0000FF"/>
                    </w:rPr>
                    <w:t>不少于</w:t>
                  </w:r>
                  <w:r>
                    <w:rPr>
                      <w:rFonts w:ascii="仿宋_GB2312" w:hAnsi="仿宋_GB2312" w:cs="仿宋_GB2312" w:eastAsia="仿宋_GB2312"/>
                      <w:sz w:val="21"/>
                      <w:color w:val="0000FF"/>
                    </w:rPr>
                    <w:t>3个</w:t>
                  </w:r>
                  <w:r>
                    <w:rPr>
                      <w:rFonts w:ascii="仿宋_GB2312" w:hAnsi="仿宋_GB2312" w:cs="仿宋_GB2312" w:eastAsia="仿宋_GB2312"/>
                      <w:sz w:val="21"/>
                      <w:color w:val="000000"/>
                    </w:rPr>
                    <w:t>。</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打印机</w:t>
                  </w:r>
                </w:p>
              </w:tc>
              <w:tc>
                <w:tcPr>
                  <w:tcW w:type="dxa" w:w="2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A4</w:t>
                  </w:r>
                  <w:r>
                    <w:rPr>
                      <w:rFonts w:ascii="仿宋_GB2312" w:hAnsi="仿宋_GB2312" w:cs="仿宋_GB2312" w:eastAsia="仿宋_GB2312"/>
                      <w:sz w:val="21"/>
                    </w:rPr>
                    <w:t>黑白打印机</w:t>
                  </w:r>
                </w:p>
                <w:p>
                  <w:pPr>
                    <w:pStyle w:val="null3"/>
                    <w:jc w:val="both"/>
                  </w:pPr>
                  <w:r>
                    <w:rPr>
                      <w:rFonts w:ascii="仿宋_GB2312" w:hAnsi="仿宋_GB2312" w:cs="仿宋_GB2312" w:eastAsia="仿宋_GB2312"/>
                      <w:sz w:val="21"/>
                    </w:rPr>
                    <w:t>首页输出时间：</w:t>
                  </w:r>
                  <w:r>
                    <w:rPr>
                      <w:rFonts w:ascii="仿宋_GB2312" w:hAnsi="仿宋_GB2312" w:cs="仿宋_GB2312" w:eastAsia="仿宋_GB2312"/>
                      <w:sz w:val="21"/>
                    </w:rPr>
                    <w:t>≤</w:t>
                  </w:r>
                  <w:r>
                    <w:rPr>
                      <w:rFonts w:ascii="仿宋_GB2312" w:hAnsi="仿宋_GB2312" w:cs="仿宋_GB2312" w:eastAsia="仿宋_GB2312"/>
                      <w:sz w:val="21"/>
                    </w:rPr>
                    <w:t xml:space="preserve">9.5 </w:t>
                  </w:r>
                  <w:r>
                    <w:rPr>
                      <w:rFonts w:ascii="仿宋_GB2312" w:hAnsi="仿宋_GB2312" w:cs="仿宋_GB2312" w:eastAsia="仿宋_GB2312"/>
                      <w:sz w:val="21"/>
                    </w:rPr>
                    <w:t>秒；月打印负荷：最高</w:t>
                  </w:r>
                  <w:r>
                    <w:rPr>
                      <w:rFonts w:ascii="仿宋_GB2312" w:hAnsi="仿宋_GB2312" w:cs="仿宋_GB2312" w:eastAsia="仿宋_GB2312"/>
                      <w:sz w:val="21"/>
                      <w:color w:val="0000FF"/>
                    </w:rPr>
                    <w:t>不低于</w:t>
                  </w:r>
                  <w:r>
                    <w:rPr>
                      <w:rFonts w:ascii="仿宋_GB2312" w:hAnsi="仿宋_GB2312" w:cs="仿宋_GB2312" w:eastAsia="仿宋_GB2312"/>
                      <w:sz w:val="21"/>
                    </w:rPr>
                    <w:t xml:space="preserve"> </w:t>
                  </w:r>
                  <w:r>
                    <w:rPr>
                      <w:rFonts w:ascii="仿宋_GB2312" w:hAnsi="仿宋_GB2312" w:cs="仿宋_GB2312" w:eastAsia="仿宋_GB2312"/>
                      <w:sz w:val="21"/>
                    </w:rPr>
                    <w:t xml:space="preserve">5000 </w:t>
                  </w:r>
                  <w:r>
                    <w:rPr>
                      <w:rFonts w:ascii="仿宋_GB2312" w:hAnsi="仿宋_GB2312" w:cs="仿宋_GB2312" w:eastAsia="仿宋_GB2312"/>
                      <w:sz w:val="21"/>
                    </w:rPr>
                    <w:t xml:space="preserve">页；打印精度：不低于 </w:t>
                  </w:r>
                  <w:r>
                    <w:rPr>
                      <w:rFonts w:ascii="仿宋_GB2312" w:hAnsi="仿宋_GB2312" w:cs="仿宋_GB2312" w:eastAsia="仿宋_GB2312"/>
                      <w:sz w:val="21"/>
                    </w:rPr>
                    <w:t>600 x 600 dpi,FastRes 1200dpi</w:t>
                  </w:r>
                  <w:r>
                    <w:rPr>
                      <w:rFonts w:ascii="仿宋_GB2312" w:hAnsi="仿宋_GB2312" w:cs="仿宋_GB2312" w:eastAsia="仿宋_GB2312"/>
                      <w:sz w:val="21"/>
                    </w:rPr>
                    <w:t>；打印语言：</w:t>
                  </w:r>
                  <w:r>
                    <w:rPr>
                      <w:rFonts w:ascii="仿宋_GB2312" w:hAnsi="仿宋_GB2312" w:cs="仿宋_GB2312" w:eastAsia="仿宋_GB2312"/>
                      <w:sz w:val="21"/>
                    </w:rPr>
                    <w:t>PCLm/PCLmS</w:t>
                  </w:r>
                  <w:r>
                    <w:rPr>
                      <w:rFonts w:ascii="仿宋_GB2312" w:hAnsi="仿宋_GB2312" w:cs="仿宋_GB2312" w:eastAsia="仿宋_GB2312"/>
                      <w:sz w:val="21"/>
                    </w:rPr>
                    <w:t>；支持智能安装，自动开关机；接口：</w:t>
                  </w:r>
                  <w:r>
                    <w:rPr>
                      <w:rFonts w:ascii="仿宋_GB2312" w:hAnsi="仿宋_GB2312" w:cs="仿宋_GB2312" w:eastAsia="仿宋_GB2312"/>
                      <w:sz w:val="21"/>
                    </w:rPr>
                    <w:t>usb2.0</w:t>
                  </w:r>
                </w:p>
                <w:p>
                  <w:pPr>
                    <w:pStyle w:val="null3"/>
                    <w:jc w:val="center"/>
                  </w:pP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乾县王村小学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项目签订合同后，以最终的价格为准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项目验收合格后，以最终的价格为准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按照国家相关法律和规定，一年。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投标人应提供的相应资质证明材料.docx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及2024年企业年度报告书；事业法人应提供事业单位法人证书；其他组织应提供合法登记证明文件；自然人应提供提供身份证</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财务状况及报告</w:t>
            </w:r>
          </w:p>
        </w:tc>
        <w:tc>
          <w:tcPr>
            <w:tcW w:type="dxa" w:w="3322"/>
          </w:tcPr>
          <w:p>
            <w:pPr>
              <w:pStyle w:val="null3"/>
            </w:pPr>
            <w:r>
              <w:rPr>
                <w:rFonts w:ascii="仿宋_GB2312" w:hAnsi="仿宋_GB2312" w:cs="仿宋_GB2312" w:eastAsia="仿宋_GB2312"/>
              </w:rPr>
              <w:t>提供2024年度完整的财务审计报告或开标时间前三个月内基本账户银行出具的资信证明，成立时间至提交投标文件递交截止时间不足一年的，须提供其基本存款账户开户银行近三个月内出具的银行资信证明或自成立以来的财务报表；</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提供截止至开标时间前6个月内任意一个月的社保缴纳凭据或社保机构开具的社会保险参保缴纳情况证明；（依法不需要缴纳社会保障资金的投标人应提供相关证明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法人身份证明或法定代表人授权书</w:t>
            </w:r>
          </w:p>
        </w:tc>
        <w:tc>
          <w:tcPr>
            <w:tcW w:type="dxa" w:w="3322"/>
          </w:tcPr>
          <w:p>
            <w:pPr>
              <w:pStyle w:val="null3"/>
            </w:pPr>
            <w:r>
              <w:rPr>
                <w:rFonts w:ascii="仿宋_GB2312" w:hAnsi="仿宋_GB2312" w:cs="仿宋_GB2312" w:eastAsia="仿宋_GB2312"/>
              </w:rPr>
              <w:t>法定代表人直接参加投标的，须出具法人身份证明（含法人身份证原件、复印件及近6个月内任意一月社保参保证明）；法定代表人授权代表参加投标的，须出具法定代表人授权书（含法人、被授权人身份证复印件）、被授权人身份证原件及近6个月内任意一月社保参保证明</w:t>
            </w:r>
          </w:p>
        </w:tc>
        <w:tc>
          <w:tcPr>
            <w:tcW w:type="dxa" w:w="1661"/>
          </w:tcPr>
          <w:p>
            <w:pPr>
              <w:pStyle w:val="null3"/>
            </w:pPr>
            <w:r>
              <w:rPr>
                <w:rFonts w:ascii="仿宋_GB2312" w:hAnsi="仿宋_GB2312" w:cs="仿宋_GB2312" w:eastAsia="仿宋_GB2312"/>
              </w:rPr>
              <w:t>投标人应提供的相应资质证明材料.docx 法定代表人证明书与授权委托书..docx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本项目要求独立法人，不接受联合体投标</w:t>
            </w:r>
          </w:p>
        </w:tc>
        <w:tc>
          <w:tcPr>
            <w:tcW w:type="dxa" w:w="1661"/>
          </w:tcPr>
          <w:p>
            <w:pPr>
              <w:pStyle w:val="null3"/>
            </w:pPr>
            <w:r>
              <w:rPr>
                <w:rFonts w:ascii="仿宋_GB2312" w:hAnsi="仿宋_GB2312" w:cs="仿宋_GB2312" w:eastAsia="仿宋_GB2312"/>
              </w:rPr>
              <w:t>投标人应提供的相应资质证明材料.docx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除明确允许供应商可以自行编写的外，招标响应文件应按照招标文件给定的格式编制。</w:t>
            </w:r>
          </w:p>
        </w:tc>
        <w:tc>
          <w:tcPr>
            <w:tcW w:type="dxa" w:w="1661"/>
          </w:tcPr>
          <w:p>
            <w:pPr>
              <w:pStyle w:val="null3"/>
            </w:pPr>
            <w:r>
              <w:rPr>
                <w:rFonts w:ascii="仿宋_GB2312" w:hAnsi="仿宋_GB2312" w:cs="仿宋_GB2312" w:eastAsia="仿宋_GB2312"/>
              </w:rPr>
              <w:t>开标一览表 投标人应提供的相应资质证明材料.docx 中小企业声明函 商务应答表 法定代表人证明书与授权委托书..docx 产品技术参数表 分项报价表.docx 投标函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应商名称应与获取招标文件的单位名称一致。</w:t>
            </w:r>
          </w:p>
        </w:tc>
        <w:tc>
          <w:tcPr>
            <w:tcW w:type="dxa" w:w="1661"/>
          </w:tcPr>
          <w:p>
            <w:pPr>
              <w:pStyle w:val="null3"/>
            </w:pPr>
            <w:r>
              <w:rPr>
                <w:rFonts w:ascii="仿宋_GB2312" w:hAnsi="仿宋_GB2312" w:cs="仿宋_GB2312" w:eastAsia="仿宋_GB2312"/>
              </w:rPr>
              <w:t>开标一览表 投标人应提供的相应资质证明材料.docx 中小企业声明函 商务应答表 法定代表人证明书与授权委托书..docx 产品技术参数表 分项报价表.docx 投标函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招标响应文件应按照招标文件的要求盖章签字。</w:t>
            </w:r>
          </w:p>
        </w:tc>
        <w:tc>
          <w:tcPr>
            <w:tcW w:type="dxa" w:w="1661"/>
          </w:tcPr>
          <w:p>
            <w:pPr>
              <w:pStyle w:val="null3"/>
            </w:pPr>
            <w:r>
              <w:rPr>
                <w:rFonts w:ascii="仿宋_GB2312" w:hAnsi="仿宋_GB2312" w:cs="仿宋_GB2312" w:eastAsia="仿宋_GB2312"/>
              </w:rPr>
              <w:t>开标一览表 投标人应提供的相应资质证明材料.docx 中小企业声明函 商务应答表 法定代表人证明书与授权委托书..docx 产品技术参数表 分项报价表.docx 投标函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招标有效期</w:t>
            </w:r>
          </w:p>
        </w:tc>
        <w:tc>
          <w:tcPr>
            <w:tcW w:type="dxa" w:w="3322"/>
          </w:tcPr>
          <w:p>
            <w:pPr>
              <w:pStyle w:val="null3"/>
            </w:pPr>
            <w:r>
              <w:rPr>
                <w:rFonts w:ascii="仿宋_GB2312" w:hAnsi="仿宋_GB2312" w:cs="仿宋_GB2312" w:eastAsia="仿宋_GB2312"/>
              </w:rPr>
              <w:t>招标有效期应符合招标文件的要求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对招标文件商务要求作了明确且实质性响应</w:t>
            </w:r>
          </w:p>
        </w:tc>
        <w:tc>
          <w:tcPr>
            <w:tcW w:type="dxa" w:w="1661"/>
          </w:tcPr>
          <w:p>
            <w:pPr>
              <w:pStyle w:val="null3"/>
            </w:pPr>
            <w:r>
              <w:rPr>
                <w:rFonts w:ascii="仿宋_GB2312" w:hAnsi="仿宋_GB2312" w:cs="仿宋_GB2312" w:eastAsia="仿宋_GB2312"/>
              </w:rPr>
              <w:t>商务应答表 实施方案.docx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技术要求响应</w:t>
            </w:r>
          </w:p>
        </w:tc>
        <w:tc>
          <w:tcPr>
            <w:tcW w:type="dxa" w:w="3322"/>
          </w:tcPr>
          <w:p>
            <w:pPr>
              <w:pStyle w:val="null3"/>
            </w:pPr>
            <w:r>
              <w:rPr>
                <w:rFonts w:ascii="仿宋_GB2312" w:hAnsi="仿宋_GB2312" w:cs="仿宋_GB2312" w:eastAsia="仿宋_GB2312"/>
              </w:rPr>
              <w:t>对招标文件技术要求作了明确且实质性响应</w:t>
            </w:r>
          </w:p>
        </w:tc>
        <w:tc>
          <w:tcPr>
            <w:tcW w:type="dxa" w:w="1661"/>
          </w:tcPr>
          <w:p>
            <w:pPr>
              <w:pStyle w:val="null3"/>
            </w:pPr>
            <w:r>
              <w:rPr>
                <w:rFonts w:ascii="仿宋_GB2312" w:hAnsi="仿宋_GB2312" w:cs="仿宋_GB2312" w:eastAsia="仿宋_GB2312"/>
              </w:rPr>
              <w:t>产品技术参数表 实施方案.docx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完全符合、满足招标文件技术参数要求的，计20分，技术指标每有一条负偏离扣3分，本项分扣完为止。 供应商应提供充足的佐证材料（佐证材料包括但不限于：产品彩页、检测报告、官网截图等证明材料）予以佐证，佐证材料应编制在公开招标响应文件中，供应商自行承担因佐证材料不全而被视为技术参数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商务分</w:t>
            </w:r>
          </w:p>
        </w:tc>
        <w:tc>
          <w:tcPr>
            <w:tcW w:type="dxa" w:w="2492"/>
          </w:tcPr>
          <w:p>
            <w:pPr>
              <w:pStyle w:val="null3"/>
            </w:pPr>
            <w:r>
              <w:rPr>
                <w:rFonts w:ascii="仿宋_GB2312" w:hAnsi="仿宋_GB2312" w:cs="仿宋_GB2312" w:eastAsia="仿宋_GB2312"/>
              </w:rPr>
              <w:t>招标文件对交货期、质保期、付款方式、验收等商务要求进行详细说明，完全响应招标文件的计5分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针对本项目有具体可行的售后服务方案及措施，包括售后服务人员、售后服务内容、售后服务网点、售后服务响应时间等。 1、售后服务方案内容具体、完整、详细、全面的计10分； 2、售后服务方案内容较为具体、较为完整、较为详细、较为全面能满足本项目需求的计8分； 3、售后服务方案内容基本具体、基本完整、基本详细、基本能满足本项目需求的计6分； 4、售后服务方案内容欠缺、薄弱的计4分； 5、未提供售后服务方案不得分。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售后承诺</w:t>
            </w:r>
          </w:p>
        </w:tc>
        <w:tc>
          <w:tcPr>
            <w:tcW w:type="dxa" w:w="2492"/>
          </w:tcPr>
          <w:p>
            <w:pPr>
              <w:pStyle w:val="null3"/>
            </w:pPr>
            <w:r>
              <w:rPr>
                <w:rFonts w:ascii="仿宋_GB2312" w:hAnsi="仿宋_GB2312" w:cs="仿宋_GB2312" w:eastAsia="仿宋_GB2312"/>
              </w:rPr>
              <w:t>有专职维修人员，明确“三包”内容，承诺维修服务具体时限与优惠,根据响应程度和优劣程度计0-3分。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提供2023年01月至今类似业绩（仅限于投标人自己实施的）每提供1份得1分，最多得2分。注：提供合同复印件加盖公章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所投产品生产厂家有可靠、完善的管理制度；有足够的工艺、加工、检验能力；所投产品符合相关标准，有具体可行的质量保证承诺，保证使用单位能熟练正常使用。 1、内容具体、完整、详细、全面的计10分； 2、内容较为具体、较为完整、较为详细、较为全面能满足本项目需求的计8分； 3、内容基本具体、基本完整、基本详细、基本能满足本项目需求的计6分； 4、内容欠缺、薄弱的计4分； 5未提供质量保证及与质量保证有关内容的不计分。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履约能力承诺：资金筹措、仓储设施、人员素质、管理水平等方面。 ①内容具体、完整、详细、全面的计10分； ②内容较为具体、较为完整、较为详细、较为全面能满足本项目需求的计8分； ③内容基本具体、基本完整、基本详细、基本能满足本项目需求的计6分；④、内容欠缺、薄弱的计4分；⑤、未提供履约能力承诺不得分。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针对本项目提出具体的运输供货方案，方案内容包含 ： ①运输成品保护方案 ②包安装，包上楼，包旧黑板搬移入库的处置措施 ；按其响应程度计0-10分；①内容具体、完整、详细、全面的计10分； ②内容较为具体、较为完整、较为详细、较为全面能满足本项目需求的计8分； ③内容基本具体、基本完整、基本详细、基本能满足本项目需求的计6分；④、内容欠缺、薄弱的计4分；⑤、未提供运输供货方案不得分。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按照有关规定：价格分采用低价优先法计算，即满足文件要求且最后报价最低的投标人的价格为基准价，其价格分为满分。其他投标人的价格分统一按照下列公式计算： 报价得分=（基准价/最终报价）×价格权值（30分）×100%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详见附件：投标人应提供的相应资质证明材料.docx</w:t>
      </w:r>
    </w:p>
    <w:p>
      <w:pPr>
        <w:pStyle w:val="null3"/>
        <w:ind w:firstLine="960"/>
      </w:pPr>
      <w:r>
        <w:rPr>
          <w:rFonts w:ascii="仿宋_GB2312" w:hAnsi="仿宋_GB2312" w:cs="仿宋_GB2312" w:eastAsia="仿宋_GB2312"/>
        </w:rPr>
        <w:t>详见附件：法定代表人证明书与授权委托书..docx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详见附件：物资类合同模板.docx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