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版本号：ZKZB-2026003号20260109001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乾县2025年村级公益事业城关街办北巨村、阳峪镇南陵村基础设施建设项目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ZKZB-2026003号</w:t>
      </w:r>
      <w:r>
        <w:br/>
      </w:r>
      <w:r>
        <w:br/>
      </w:r>
      <w:r>
        <w:br/>
      </w:r>
    </w:p>
    <w:p>
      <w:pPr>
        <w:pStyle w:val="null3"/>
        <w:jc w:val="center"/>
        <w:outlineLvl w:val="2"/>
      </w:pPr>
      <w:r>
        <w:rPr>
          <w:rFonts w:ascii="仿宋_GB2312" w:hAnsi="仿宋_GB2312" w:cs="仿宋_GB2312" w:eastAsia="仿宋_GB2312"/>
          <w:sz w:val="28"/>
          <w:b/>
        </w:rPr>
        <w:t>乾县农村综合改革领导小组办公室</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乾县农村综合改革领导小组办公室</w:t>
      </w:r>
      <w:r>
        <w:rPr>
          <w:rFonts w:ascii="仿宋_GB2312" w:hAnsi="仿宋_GB2312" w:cs="仿宋_GB2312" w:eastAsia="仿宋_GB2312"/>
        </w:rPr>
        <w:t>委托，拟对</w:t>
      </w:r>
      <w:r>
        <w:rPr>
          <w:rFonts w:ascii="仿宋_GB2312" w:hAnsi="仿宋_GB2312" w:cs="仿宋_GB2312" w:eastAsia="仿宋_GB2312"/>
        </w:rPr>
        <w:t>乾县2025年村级公益事业城关街办北巨村、阳峪镇南陵村基础设施建设项目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ZKZB-2026003号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乾县2025年村级公益事业城关街办北巨村、阳峪镇南陵村基础设施建设项目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乾县2025年村级公益事业城关街办北巨村、阳峪镇南陵村基础设施建设项目，具体内容详见竞争性磋商文件及工程量清单。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采购包1（乾县2025年村级公益事业城关街办北巨村、阳峪镇南陵村基础设施建设项目）：属于专门面向中小企业采购。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2、企业资质：供应商须具有建设行政主管部门颁发的市政公用工程施工总承包三级及以上资质，且具备有效的安全生产许可证；</w:t>
      </w:r>
    </w:p>
    <w:p>
      <w:pPr>
        <w:pStyle w:val="null3"/>
      </w:pPr>
      <w:r>
        <w:rPr>
          <w:rFonts w:ascii="仿宋_GB2312" w:hAnsi="仿宋_GB2312" w:cs="仿宋_GB2312" w:eastAsia="仿宋_GB2312"/>
        </w:rPr>
        <w:t>3、拟派项目经理：拟派项目经理须具备建设行政主管部门颁发的市政公用工程专业二级及以上注册建造师执业资格，具备有效的安全生产考核合格证书（B证），在本单位注册，且无在建项目；</w:t>
      </w:r>
    </w:p>
    <w:p>
      <w:pPr>
        <w:pStyle w:val="null3"/>
      </w:pPr>
      <w:r>
        <w:rPr>
          <w:rFonts w:ascii="仿宋_GB2312" w:hAnsi="仿宋_GB2312" w:cs="仿宋_GB2312" w:eastAsia="仿宋_GB2312"/>
        </w:rPr>
        <w:t>4、基本信息查询：供应商及拟派项目经理的基本信息在“陕西省建筑市场监管与诚信信息发布平台”可查询，外省进陕施工企业需提供陕西省住房和城乡建设厅官网企业库外省进陕施工企业及项目经理基本信息；</w:t>
      </w:r>
    </w:p>
    <w:p>
      <w:pPr>
        <w:pStyle w:val="null3"/>
      </w:pPr>
      <w:r>
        <w:rPr>
          <w:rFonts w:ascii="仿宋_GB2312" w:hAnsi="仿宋_GB2312" w:cs="仿宋_GB2312" w:eastAsia="仿宋_GB2312"/>
        </w:rPr>
        <w:t>5、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6、税收缴纳证明：提供响应文件提交截止时间前六个月内至少一个月的纳税证明或完税证明（任意税种），纳税证明或完税证明上应有代收机构或税务机关的公章或业务专用章；（依法不需要缴纳税收的供应商应提供相关证明）</w:t>
      </w:r>
    </w:p>
    <w:p>
      <w:pPr>
        <w:pStyle w:val="null3"/>
      </w:pPr>
      <w:r>
        <w:rPr>
          <w:rFonts w:ascii="仿宋_GB2312" w:hAnsi="仿宋_GB2312" w:cs="仿宋_GB2312" w:eastAsia="仿宋_GB2312"/>
        </w:rPr>
        <w:t>7、社会保障资金缴纳证明：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p>
      <w:pPr>
        <w:pStyle w:val="null3"/>
      </w:pPr>
      <w:r>
        <w:rPr>
          <w:rFonts w:ascii="仿宋_GB2312" w:hAnsi="仿宋_GB2312" w:cs="仿宋_GB2312" w:eastAsia="仿宋_GB2312"/>
        </w:rPr>
        <w:t>8、无重大违法记录的书面声明：出具参加本次政府采购活动前三年内在经营活动中没有重大违法记录的书面声明。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10、设备、技术能力书面声明：提供具有履行合同所必须得设备和专业技术能力书面声明函；</w:t>
      </w:r>
    </w:p>
    <w:p>
      <w:pPr>
        <w:pStyle w:val="null3"/>
      </w:pPr>
      <w:r>
        <w:rPr>
          <w:rFonts w:ascii="仿宋_GB2312" w:hAnsi="仿宋_GB2312" w:cs="仿宋_GB2312" w:eastAsia="仿宋_GB2312"/>
        </w:rPr>
        <w:t>11、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12、法定代表人（单位负责人）身份证明/委托授权书：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p>
      <w:pPr>
        <w:pStyle w:val="null3"/>
      </w:pPr>
      <w:r>
        <w:rPr>
          <w:rFonts w:ascii="仿宋_GB2312" w:hAnsi="仿宋_GB2312" w:cs="仿宋_GB2312" w:eastAsia="仿宋_GB2312"/>
        </w:rPr>
        <w:t>13、非联合体：本项目不接受联合体磋商。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乾县农村综合改革领导小组办公室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乾县城关街办东新街15号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13700201899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陕西省咸阳市高新技术产业开发区香柏路锦业壹号3号楼1单元5层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元列娟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19916367735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乾县财政局采购股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采购包1：712,029.88元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代理服务费收费标准：1.参考国家计委关于《招标代理服务收费管理暂行办法》（计价格[2002]1980 号）中服务招标的收费标准和国家发展改革委员会办公厅颁发的《关于招标代理服务收费有关问题的通知》（发改办价格[2011]534号）的规定标准，按照差额定率累进法计算。2.成交人在领取《成交通知书》之前，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乾县农村综合改革领导小组办公室</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乾县农村综合改革领导小组办公室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乾县农村综合改革领导小组办公室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完全响应竞争性磋商文件及合同约定执行。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联系人：元列娟</w:t>
      </w:r>
    </w:p>
    <w:p>
      <w:pPr>
        <w:pStyle w:val="null3"/>
      </w:pPr>
      <w:r>
        <w:rPr>
          <w:rFonts w:ascii="仿宋_GB2312" w:hAnsi="仿宋_GB2312" w:cs="仿宋_GB2312" w:eastAsia="仿宋_GB2312"/>
        </w:rPr>
        <w:t>联系电话：19916367735</w:t>
      </w:r>
    </w:p>
    <w:p>
      <w:pPr>
        <w:pStyle w:val="null3"/>
      </w:pPr>
      <w:r>
        <w:rPr>
          <w:rFonts w:ascii="仿宋_GB2312" w:hAnsi="仿宋_GB2312" w:cs="仿宋_GB2312" w:eastAsia="仿宋_GB2312"/>
        </w:rPr>
        <w:t>地址：陕西省咸阳市高新技术产业开发区香柏路锦业壹号3号楼1单元5层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712,029.88</w:t>
      </w:r>
    </w:p>
    <w:p>
      <w:pPr>
        <w:pStyle w:val="null3"/>
      </w:pPr>
      <w:r>
        <w:rPr>
          <w:rFonts w:ascii="仿宋_GB2312" w:hAnsi="仿宋_GB2312" w:cs="仿宋_GB2312" w:eastAsia="仿宋_GB2312"/>
        </w:rPr>
        <w:t>采购包最高限价（元）: 712,029.88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基础设施建设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712,029.88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sz w:val="21"/>
              </w:rPr>
              <w:t>乾县2025年村级公益事业城关街办北巨村、阳峪镇南陵村基础设施建设项目</w:t>
            </w:r>
            <w:r>
              <w:rPr>
                <w:rFonts w:ascii="仿宋_GB2312" w:hAnsi="仿宋_GB2312" w:cs="仿宋_GB2312" w:eastAsia="仿宋_GB2312"/>
                <w:sz w:val="21"/>
              </w:rPr>
              <w:t>。</w:t>
            </w:r>
          </w:p>
          <w:p>
            <w:pPr>
              <w:pStyle w:val="null3"/>
              <w:spacing w:before="240" w:after="120"/>
              <w:jc w:val="left"/>
            </w:pPr>
            <w:r>
              <w:rPr>
                <w:rFonts w:ascii="仿宋_GB2312" w:hAnsi="仿宋_GB2312" w:cs="仿宋_GB2312" w:eastAsia="仿宋_GB2312"/>
                <w:sz w:val="24"/>
                <w:b/>
              </w:rPr>
              <w:t>二、工程建设标准</w:t>
            </w:r>
          </w:p>
          <w:p>
            <w:pPr>
              <w:pStyle w:val="null3"/>
              <w:ind w:firstLine="420"/>
              <w:jc w:val="left"/>
            </w:pPr>
            <w:r>
              <w:rPr>
                <w:rFonts w:ascii="仿宋_GB2312" w:hAnsi="仿宋_GB2312" w:cs="仿宋_GB2312" w:eastAsia="仿宋_GB2312"/>
                <w:sz w:val="21"/>
              </w:rPr>
              <w:t>本工程的施工过程和成果必须符合国家有关工程建设标准强制性条文和国家或有关部门关于工程施工方面现行的标准、规范、定额、办法、示例，以及陕西省关于工程施工方面的文件、规定；</w:t>
            </w:r>
          </w:p>
          <w:p>
            <w:pPr>
              <w:pStyle w:val="null3"/>
              <w:ind w:firstLine="420"/>
              <w:jc w:val="left"/>
            </w:pPr>
            <w:r>
              <w:rPr>
                <w:rFonts w:ascii="仿宋_GB2312" w:hAnsi="仿宋_GB2312" w:cs="仿宋_GB2312" w:eastAsia="仿宋_GB2312"/>
                <w:sz w:val="21"/>
              </w:rPr>
              <w:t>招标人可根据工程实际情况增减标准、规范，在施工过程中，如果国家或有关部门颁布了新的技术部分</w:t>
            </w:r>
            <w:r>
              <w:rPr>
                <w:rFonts w:ascii="仿宋_GB2312" w:hAnsi="仿宋_GB2312" w:cs="仿宋_GB2312" w:eastAsia="仿宋_GB2312"/>
                <w:sz w:val="21"/>
              </w:rPr>
              <w:t>准或规范，则承包人应采用新的标准或规范进行施工。</w:t>
            </w:r>
          </w:p>
          <w:p>
            <w:pPr>
              <w:pStyle w:val="null3"/>
              <w:spacing w:before="240" w:after="120"/>
              <w:jc w:val="left"/>
            </w:pPr>
            <w:r>
              <w:rPr>
                <w:rFonts w:ascii="仿宋_GB2312" w:hAnsi="仿宋_GB2312" w:cs="仿宋_GB2312" w:eastAsia="仿宋_GB2312"/>
                <w:sz w:val="24"/>
                <w:b/>
              </w:rPr>
              <w:t>三、工程地点</w:t>
            </w:r>
          </w:p>
          <w:p>
            <w:pPr>
              <w:pStyle w:val="null3"/>
              <w:jc w:val="left"/>
            </w:pPr>
            <w:r>
              <w:rPr>
                <w:rFonts w:ascii="仿宋_GB2312" w:hAnsi="仿宋_GB2312" w:cs="仿宋_GB2312" w:eastAsia="仿宋_GB2312"/>
                <w:sz w:val="21"/>
              </w:rPr>
              <w:t xml:space="preserve">  乾县城关街办北巨村、阳峪镇南陵村</w:t>
            </w:r>
          </w:p>
          <w:p>
            <w:pPr>
              <w:pStyle w:val="null3"/>
              <w:jc w:val="left"/>
            </w:pPr>
            <w:r>
              <w:rPr>
                <w:rFonts w:ascii="仿宋_GB2312" w:hAnsi="仿宋_GB2312" w:cs="仿宋_GB2312" w:eastAsia="仿宋_GB2312"/>
                <w:sz w:val="24"/>
                <w:b/>
              </w:rPr>
              <w:t>四、招标内容及</w:t>
            </w:r>
            <w:r>
              <w:rPr>
                <w:rFonts w:ascii="仿宋_GB2312" w:hAnsi="仿宋_GB2312" w:cs="仿宋_GB2312" w:eastAsia="仿宋_GB2312"/>
                <w:sz w:val="24"/>
                <w:b/>
              </w:rPr>
              <w:t>商务</w:t>
            </w:r>
            <w:r>
              <w:rPr>
                <w:rFonts w:ascii="仿宋_GB2312" w:hAnsi="仿宋_GB2312" w:cs="仿宋_GB2312" w:eastAsia="仿宋_GB2312"/>
                <w:sz w:val="24"/>
                <w:b/>
              </w:rPr>
              <w:t>要求</w:t>
            </w:r>
          </w:p>
          <w:p>
            <w:pPr>
              <w:pStyle w:val="null3"/>
              <w:ind w:firstLine="422"/>
              <w:jc w:val="both"/>
            </w:pPr>
            <w:r>
              <w:rPr>
                <w:rFonts w:ascii="仿宋_GB2312" w:hAnsi="仿宋_GB2312" w:cs="仿宋_GB2312" w:eastAsia="仿宋_GB2312"/>
                <w:sz w:val="21"/>
                <w:b/>
              </w:rPr>
              <w:t>1.招标内容：</w:t>
            </w:r>
            <w:r>
              <w:rPr>
                <w:rFonts w:ascii="仿宋_GB2312" w:hAnsi="仿宋_GB2312" w:cs="仿宋_GB2312" w:eastAsia="仿宋_GB2312"/>
                <w:sz w:val="21"/>
              </w:rPr>
              <w:t>乾县2025年村级公益事业城关街办北巨村、阳峪镇南陵村基础设施建设项目</w:t>
            </w:r>
            <w:r>
              <w:rPr>
                <w:rFonts w:ascii="仿宋_GB2312" w:hAnsi="仿宋_GB2312" w:cs="仿宋_GB2312" w:eastAsia="仿宋_GB2312"/>
                <w:sz w:val="21"/>
              </w:rPr>
              <w:t>（工程量清单全部内容）</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商务要求：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工期：</w:t>
            </w:r>
            <w:r>
              <w:rPr>
                <w:rFonts w:ascii="仿宋_GB2312" w:hAnsi="仿宋_GB2312" w:cs="仿宋_GB2312" w:eastAsia="仿宋_GB2312"/>
                <w:sz w:val="21"/>
              </w:rPr>
              <w:t xml:space="preserve">90 </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工程款（进度款）支付：</w:t>
            </w:r>
          </w:p>
          <w:p>
            <w:pPr>
              <w:pStyle w:val="null3"/>
              <w:ind w:firstLine="420"/>
              <w:jc w:val="both"/>
            </w:pPr>
            <w:r>
              <w:rPr>
                <w:rFonts w:ascii="仿宋_GB2312" w:hAnsi="仿宋_GB2312" w:cs="仿宋_GB2312" w:eastAsia="仿宋_GB2312"/>
                <w:sz w:val="21"/>
              </w:rPr>
              <w:t xml:space="preserve">  （1）.项目开始材料进场后，达到付款条件起15日内，支付合同总金额的50%。</w:t>
            </w:r>
          </w:p>
          <w:p>
            <w:pPr>
              <w:pStyle w:val="null3"/>
            </w:pPr>
            <w:r>
              <w:rPr>
                <w:rFonts w:ascii="仿宋_GB2312" w:hAnsi="仿宋_GB2312" w:cs="仿宋_GB2312" w:eastAsia="仿宋_GB2312"/>
                <w:sz w:val="21"/>
              </w:rPr>
              <w:t xml:space="preserve">  （2）.同时按照施工进度付款，待工程竣工验收合格后，达到付款条件起15日内，支付合同总金额的47%。</w:t>
            </w:r>
          </w:p>
          <w:p>
            <w:pPr>
              <w:pStyle w:val="null3"/>
            </w:pPr>
            <w:r>
              <w:rPr>
                <w:rFonts w:ascii="仿宋_GB2312" w:hAnsi="仿宋_GB2312" w:cs="仿宋_GB2312" w:eastAsia="仿宋_GB2312"/>
                <w:sz w:val="21"/>
              </w:rPr>
              <w:t xml:space="preserve">  （3）.剩余3%作为质保金，保修期为1年（保修期符合国家相关规定，自工程竣工验收合格之日起算），达到付</w:t>
            </w:r>
            <w:r>
              <w:rPr>
                <w:rFonts w:ascii="仿宋_GB2312" w:hAnsi="仿宋_GB2312" w:cs="仿宋_GB2312" w:eastAsia="仿宋_GB2312"/>
                <w:sz w:val="21"/>
              </w:rPr>
              <w:t>款条件起15日内，支付合同总金额的3%。</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质量要求：符合国家现行《工程施工质量验收规范》合格标准</w:t>
            </w:r>
          </w:p>
          <w:p>
            <w:pPr>
              <w:pStyle w:val="null3"/>
              <w:jc w:val="left"/>
            </w:pPr>
            <w:r>
              <w:rPr>
                <w:rFonts w:ascii="仿宋_GB2312" w:hAnsi="仿宋_GB2312" w:cs="仿宋_GB2312" w:eastAsia="仿宋_GB2312"/>
                <w:sz w:val="24"/>
                <w:b/>
              </w:rPr>
              <w:t>五、其他要求</w:t>
            </w:r>
          </w:p>
          <w:p>
            <w:pPr>
              <w:pStyle w:val="null3"/>
              <w:ind w:firstLine="210"/>
              <w:jc w:val="both"/>
            </w:pPr>
            <w:r>
              <w:rPr>
                <w:rFonts w:ascii="仿宋_GB2312" w:hAnsi="仿宋_GB2312" w:cs="仿宋_GB2312" w:eastAsia="仿宋_GB2312"/>
                <w:sz w:val="21"/>
              </w:rPr>
              <w:t xml:space="preserve">  1.本项目按照综合报价</w:t>
            </w:r>
            <w:r>
              <w:rPr>
                <w:rFonts w:ascii="仿宋_GB2312" w:hAnsi="仿宋_GB2312" w:cs="仿宋_GB2312" w:eastAsia="仿宋_GB2312"/>
                <w:sz w:val="21"/>
              </w:rPr>
              <w:t>的方式进行，综合单价包含但不限于各种规费、税费、管理费等。</w:t>
            </w:r>
          </w:p>
          <w:p>
            <w:pPr>
              <w:pStyle w:val="null3"/>
            </w:pPr>
            <w:r>
              <w:rPr>
                <w:rFonts w:ascii="仿宋_GB2312" w:hAnsi="仿宋_GB2312" w:cs="仿宋_GB2312" w:eastAsia="仿宋_GB2312"/>
                <w:sz w:val="21"/>
              </w:rPr>
              <w:t xml:space="preserve">  2.其他未尽事宜由供需双方在采购合同中详细约定。</w:t>
            </w:r>
          </w:p>
          <w:p>
            <w:pPr>
              <w:pStyle w:val="null3"/>
            </w:pPr>
            <w:r>
              <w:rPr>
                <w:rFonts w:ascii="仿宋_GB2312" w:hAnsi="仿宋_GB2312" w:cs="仿宋_GB2312" w:eastAsia="仿宋_GB2312"/>
                <w:sz w:val="24"/>
                <w:b/>
              </w:rPr>
              <w:t>六、违约责任</w:t>
            </w:r>
          </w:p>
          <w:p>
            <w:pPr>
              <w:pStyle w:val="null3"/>
            </w:pPr>
            <w:r>
              <w:rPr>
                <w:rFonts w:ascii="仿宋_GB2312" w:hAnsi="仿宋_GB2312" w:cs="仿宋_GB2312" w:eastAsia="仿宋_GB2312"/>
                <w:sz w:val="21"/>
              </w:rPr>
              <w:t xml:space="preserve">  1.按《中华人民共和国政府采购法》、《中华人民共和国民法典》中的相关条款执行。</w:t>
            </w:r>
          </w:p>
          <w:p>
            <w:pPr>
              <w:pStyle w:val="null3"/>
            </w:pPr>
            <w:r>
              <w:rPr>
                <w:rFonts w:ascii="仿宋_GB2312" w:hAnsi="仿宋_GB2312" w:cs="仿宋_GB2312" w:eastAsia="仿宋_GB2312"/>
                <w:sz w:val="21"/>
              </w:rPr>
              <w:t xml:space="preserve">  2.未按合同或采购文件要求提供的产品或者服务，质量不能满足采购人技术要求，采购人有权终止合同，甚至对</w:t>
            </w:r>
            <w:r>
              <w:rPr>
                <w:rFonts w:ascii="仿宋_GB2312" w:hAnsi="仿宋_GB2312" w:cs="仿宋_GB2312" w:eastAsia="仿宋_GB2312"/>
                <w:sz w:val="21"/>
              </w:rPr>
              <w:t>供应商违约行为进行追究。</w:t>
            </w:r>
          </w:p>
          <w:p>
            <w:pPr>
              <w:pStyle w:val="null3"/>
              <w:ind w:firstLine="21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达到国家现行技术标准、行业标准及采购人“合格”要求。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具体内容详见工程量清单。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（一）落实的政府采购政策: （1）《国务院办公厅关于建立政府强制采购节能产品制度的通知》（国办发〔2007〕51号）;（2）《财政部 司法部 关于政府采购支持监狱企业发展有关问题的通知》（财库〔2014〕68号）；（3）《关于在政府采购活动中查询及使用信用记录有关问题的通知》（财库〔2016〕125号）；（4）《关于促进残疾人就业政府采购政策的通知》（财库〔2017〕141号）；（5）《财政部 发展改革委 生态环境部 市场监管总局关于调整优化节能产品、环境标志产品政府采购执行机制的通知》（财库〔2019〕9号）；（6）《财政部 国务院扶贫办关于运用政府采购政策支持脱贫攻坚的通知》（财库〔2019〕27号）；（7）《财政部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8）《政府采购促进中小企业发展管理办法》（财库〔2020〕46号）、《关于进一步加大政府采购支持中小企业力度的通知》（财库〔2022〕19号）；（9）关于印发《商品包装政府采购需求标准（试行）》、《快递包装政府采购需求标准（试行）》的通知（财办库〔2020〕123号）；（10）《财政部关于在政府采购活动中落实平等对待内外资企业有关政策的通知》（财库 〔2021〕35号）；（11）《陕西省财政厅关于印发《陕西省中小企业政府采购信用融资办法》（陕财办采〔2018〕23号）、《陕西省财政厅关于加快推进我省中小企业政府采购信用融资工作的通知》（陕财 办采〔2020〕15号）；（12）《陕西省财政厅关于进一步加强政府绿色采购有关问题的通知》（陕财办采〔2021〕29号）；（13）《陕西省财政厅关于进一步加大政府采购支持中小企业力度的通知》（陕财办采〔2022〕5号）；（14）如有最新颁布的政府采购政策，按最新的文件执行。（二）为顺利推进政府采购电子化交易平台试点应用工作，供应商需在线提交所有通过电子化交易平台实施的政府采购项目的投标（响应）文件。供应商中标（成交）后，须线下提交纸质投标（响应）文件叁份、U盘贰份（U盘内储存通过电子化交易平台上传的最终版PDF投标响应文件，以及电子版清单报价文件）。递交地址：陕西省咸阳市高新技术产业开发区香柏路锦业壹号3号楼1单元5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拒绝政府采购领域商业贿赂承诺书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1）《国务院办公厅关于建立政府强制采购节能产品制度的通知》（国办发〔2007〕51号）;（2）《财政部 司法部 关于政府采购支持监狱企业发展有关问题的通知》（财库〔2014〕68号）；（3）《关于在政府采购活动中查询及使用信用记录有关问题的通知》（财库〔2016〕125号）；（4）《关于促进残疾人就业政府采购政策的通知》（财库〔2017〕141号）；（5）《财政部 发展改革委 生态环境部 市场监管总局关于调整优化节能产品、环境标志产品政府采购执行机制的通知》（财库〔2019〕9号）；（6）《财政部 国务院扶贫办关于运用政府采购政策支持脱贫攻坚的通知》（财库〔2019〕27号）；（7）《财政部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8）《政府采购促进中小企业发展管理办法》（财库〔2020〕46号）、《关于进一步加大政府采购支持中小企业力度的通知》（财库〔2022〕19号）；（9）关于印发《商品包装政府采购需求标准（试行）》、《快递包装政府采购需求标准（试行）》的通知（财办库〔2020〕123号）；（10）《财政部关于在政府采购活动中落实平等对待内外资企业有关政策的通知》（财库 〔2021〕35号）；（11）《陕西省财政厅关于印发《陕西省中小企业政府采购信用融资办法》（陕财办采〔2018〕23号）、《陕西省财政厅关于加快推进我省中小企业政府采购信用融资工作的通知》（陕财 办采〔2020〕15号）；（12）《陕西省财政厅关于进一步加强政府绿色采购有关问题的通知》（陕财办采〔2021〕29号）；（13）《陕西省财政厅关于进一步加大政府采购支持中小企业力度的通知》（陕财办采〔2022〕5号）；（14）如有最新颁布的政府采购政策，按最新的文件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拟派项目经理须具备建设行政主管部门颁发的市政公用工程专业二级及以上注册建造师执业资格，具备有效的安全生产考核合格证书（B证），在本单位注册，且无在建项目；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供应商及拟派项目经理的基本信息在“陕西省建筑市场监管与诚信信息发布平台”可查询，外省进陕施工企业需提供陕西省住房和城乡建设厅官网企业库外省进陕施工企业及项目经理基本信息；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提供响应文件提交截止时间前六个月内至少一个月的纳税证明或完税证明（任意税种），纳税证明或完税证明上应有代收机构或税务机关的公章或业务专用章；（依法不需要缴纳税收的供应商应提供相关证明）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提供具有履行合同所必须得设备和专业技术能力书面声明函；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法定代表人（单位负责人）身份证明/委托授权书</w:t>
            </w:r>
          </w:p>
        </w:tc>
        <w:tc>
          <w:tcPr>
            <w:tcW w:type="dxa" w:w="3322"/>
          </w:tcPr>
          <w:p>
            <w:pPr>
              <w:pStyle w:val="null3"/>
            </w:pPr>
            <w:r>
              <w:rPr>
                <w:rFonts w:ascii="仿宋_GB2312" w:hAnsi="仿宋_GB2312" w:cs="仿宋_GB2312" w:eastAsia="仿宋_GB2312"/>
              </w:rPr>
              <w:t>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 （2）响应函 （3）法定代表人（单位负责人）身份证明/委托授权书；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响应文件封面 施工技术方案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同时满足以下条款：（1）货币单位符合磋商文件要求；（2）未超出最高限价；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商务响应偏离表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商务响应偏离表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响应文件编写格式符合磋商文件要求，且签字、盖章有效无遗漏；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施工技术方案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提供的施工方案与技术措施，包括①工程概况；②施工总体规划(难点分析、应急措施)；③施工准备及施工部署(技术准备、施工现场准备、物资准备、劳动力准备等)；④施工方案与技术措施等内容进行评审：上述内容完全满足项目要求的得12.0分，每缺 少一项内容的扣3.0分，每有一项内容存在缺陷或不足扣1.0分。 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包括①详细的项目进度计划(含计划开、竣工日期和施工进度网络图)、②完整的项目工期保证措施、劳动力配备及管理措施、③主要人、料、机配置使用计划及管理措施等内容进行综合评审：上述内容完全满足项目要求的得 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 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质量管理体系措施</w:t>
            </w:r>
          </w:p>
        </w:tc>
        <w:tc>
          <w:tcPr>
            <w:tcW w:type="dxa" w:w="2492"/>
          </w:tcPr>
          <w:p>
            <w:pPr>
              <w:pStyle w:val="null3"/>
            </w:pPr>
            <w:r>
              <w:rPr>
                <w:rFonts w:ascii="仿宋_GB2312" w:hAnsi="仿宋_GB2312" w:cs="仿宋_GB2312" w:eastAsia="仿宋_GB2312"/>
              </w:rPr>
              <w:t>根据供应商针对本项目提供的质量管理体系及保证措施，包括①制定完整的质量保证体系、②确保项目质量的技术组织措施、③针对质量目标及质量控制的保证措施等内容进行评审：上述内容完全满足项目要求的得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针对本项目提供的安全防护及文明施工管理体系与措施，包括①制定完整的文明施工安全保障体系、②制定完整的安全文明施工措施、③安全教育及培训计划等内容进行评审：上述内容完全满足项目要求的得9.0分，每缺少一项内容的扣3.0分，每有一项内容存 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 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 措施</w:t>
            </w:r>
          </w:p>
        </w:tc>
        <w:tc>
          <w:tcPr>
            <w:tcW w:type="dxa" w:w="2492"/>
          </w:tcPr>
          <w:p>
            <w:pPr>
              <w:pStyle w:val="null3"/>
            </w:pPr>
            <w:r>
              <w:rPr>
                <w:rFonts w:ascii="仿宋_GB2312" w:hAnsi="仿宋_GB2312" w:cs="仿宋_GB2312" w:eastAsia="仿宋_GB2312"/>
              </w:rPr>
              <w:t>根据供应商针对本项目提供的环境保护管理体系与措施，包括①制定完整的环境保护管理体系、②制定完整的环境卫生保护措施、③污染物处理及排放措施、④现场管理人员环境保护职责及操作流程要求内容进行评审：上述内容完全满足项目要求的得12.0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项目管理机构人员岗位完整，专业种类齐全，搭配合理，职位分明、有相应的技术能力。1.项目经理及项目部人员配备齐全、专业配套、科学可行，满足项目实际要求得7.0分； 2.项目经理及项目部人员配备较合理、专业较为配套、可行性一般，基本满足项目实际要求得4.0分； 3.项目经理及项目部人员配备不够齐全得1.0分；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突发情况及应急预案</w:t>
            </w:r>
          </w:p>
        </w:tc>
        <w:tc>
          <w:tcPr>
            <w:tcW w:type="dxa" w:w="2492"/>
          </w:tcPr>
          <w:p>
            <w:pPr>
              <w:pStyle w:val="null3"/>
            </w:pPr>
            <w:r>
              <w:rPr>
                <w:rFonts w:ascii="仿宋_GB2312" w:hAnsi="仿宋_GB2312" w:cs="仿宋_GB2312" w:eastAsia="仿宋_GB2312"/>
              </w:rPr>
              <w:t>供应商提供针对本项目施工过程中可能出现的突发情况及应急预案，方案内容应包括①可能出现的突发情况；②应急预案及响应措施。上述内容完全满足项目要求的得6.0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供应商自2023年1月1日（含1日）至今，每提供1个有效类似项目业绩得2.0分，最多得6.0分。注：以附有加盖公章的合同或协议书复印件为准；业绩认定时间以合同签订时间为准；类似项目指工程施工类项目。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