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版本号：ZKZB-2026002号20260109001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乾县2025年村级公益事业灵源镇佛留村、五星村、大杨镇杨善村、周城镇董城村、临平镇武兴村、龙背村基础设施建设项目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ZKZB-2026002号</w:t>
      </w:r>
      <w:r>
        <w:br/>
      </w:r>
      <w:r>
        <w:br/>
      </w:r>
      <w:r>
        <w:br/>
      </w:r>
    </w:p>
    <w:p>
      <w:pPr>
        <w:pStyle w:val="null3"/>
        <w:jc w:val="center"/>
        <w:outlineLvl w:val="2"/>
      </w:pPr>
      <w:r>
        <w:rPr>
          <w:rFonts w:ascii="仿宋_GB2312" w:hAnsi="仿宋_GB2312" w:cs="仿宋_GB2312" w:eastAsia="仿宋_GB2312"/>
          <w:sz w:val="28"/>
          <w:b/>
        </w:rPr>
        <w:t>乾县农村综合改革领导小组办公室</w:t>
      </w:r>
    </w:p>
    <w:p>
      <w:pPr>
        <w:pStyle w:val="null3"/>
        <w:jc w:val="center"/>
        <w:outlineLvl w:val="2"/>
      </w:pPr>
      <w:r>
        <w:rPr>
          <w:rFonts w:ascii="仿宋_GB2312" w:hAnsi="仿宋_GB2312" w:cs="仿宋_GB2312" w:eastAsia="仿宋_GB2312"/>
          <w:sz w:val="28"/>
          <w:b/>
        </w:rPr>
        <w:t>中科经纬工程技术有限公司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中科经纬工程技术有限公司</w:t>
      </w:r>
      <w:r>
        <w:rPr>
          <w:rFonts w:ascii="仿宋_GB2312" w:hAnsi="仿宋_GB2312" w:cs="仿宋_GB2312" w:eastAsia="仿宋_GB2312"/>
        </w:rPr>
        <w:t>（以下简称“代理机构”）受</w:t>
      </w:r>
      <w:r>
        <w:rPr>
          <w:rFonts w:ascii="仿宋_GB2312" w:hAnsi="仿宋_GB2312" w:cs="仿宋_GB2312" w:eastAsia="仿宋_GB2312"/>
        </w:rPr>
        <w:t>乾县农村综合改革领导小组办公室</w:t>
      </w:r>
      <w:r>
        <w:rPr>
          <w:rFonts w:ascii="仿宋_GB2312" w:hAnsi="仿宋_GB2312" w:cs="仿宋_GB2312" w:eastAsia="仿宋_GB2312"/>
        </w:rPr>
        <w:t>委托，拟对</w:t>
      </w:r>
      <w:r>
        <w:rPr>
          <w:rFonts w:ascii="仿宋_GB2312" w:hAnsi="仿宋_GB2312" w:cs="仿宋_GB2312" w:eastAsia="仿宋_GB2312"/>
        </w:rPr>
        <w:t>乾县2025年村级公益事业灵源镇佛留村、五星村、大杨镇杨善村、周城镇董城村、临平镇武兴村、龙背村基础设施建设项目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ZKZB-2026002号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乾县2025年村级公益事业灵源镇佛留村、五星村、大杨镇杨善村、周城镇董城村、临平镇武兴村、龙背村基础设施建设项目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乾县2025年村级公益事业灵源镇佛留村、五星村、大杨镇杨善村、周城镇董城村、临平镇武兴村、龙背村基础设施建设项目，具体内容详见竞争性磋商文件及工程量清单。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采购包1（乾县2025年村级公益事业灵源镇佛留村、五星村、大杨镇杨善村、周城镇董城村、临平镇武兴村、龙背村基础设施建设项目）：属于专门面向中小企业采购。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2、企业资质：供应商须具有建设行政主管部门颁发的市政公用工程施工总承包三级及以上资质，且具备有效的安全生产许可证；</w:t>
      </w:r>
    </w:p>
    <w:p>
      <w:pPr>
        <w:pStyle w:val="null3"/>
      </w:pPr>
      <w:r>
        <w:rPr>
          <w:rFonts w:ascii="仿宋_GB2312" w:hAnsi="仿宋_GB2312" w:cs="仿宋_GB2312" w:eastAsia="仿宋_GB2312"/>
        </w:rPr>
        <w:t>3、拟派项目经理：拟派项目经理须具备建设行政主管部门颁发的市政公用工程专业二级及以上注册建造师执业资格，具备有效的安全生产考核合格证书（B证），在本单位注册，且无在建项目；</w:t>
      </w:r>
    </w:p>
    <w:p>
      <w:pPr>
        <w:pStyle w:val="null3"/>
      </w:pPr>
      <w:r>
        <w:rPr>
          <w:rFonts w:ascii="仿宋_GB2312" w:hAnsi="仿宋_GB2312" w:cs="仿宋_GB2312" w:eastAsia="仿宋_GB2312"/>
        </w:rPr>
        <w:t>4、基本信息查询：供应商及拟派项目经理的基本信息在“陕西省建筑市场监管与诚信信息发布平台”可查询，外省进陕施工企业需提供陕西省住房和城乡建设厅官网企业库外省进陕施工企业及项目经理基本信息；</w:t>
      </w:r>
    </w:p>
    <w:p>
      <w:pPr>
        <w:pStyle w:val="null3"/>
      </w:pPr>
      <w:r>
        <w:rPr>
          <w:rFonts w:ascii="仿宋_GB2312" w:hAnsi="仿宋_GB2312" w:cs="仿宋_GB2312" w:eastAsia="仿宋_GB2312"/>
        </w:rPr>
        <w:t>5、财务状况证明：（三种形式的资料提供任何一种即可）①提供2024年财务审计报告（成立时间至磋商时间不足一年的可提供成立后任意时段的资产负债表）；②提供基本存款账户信息及磋商日期前三个月内其基本存款账户开户银行出具的资信证明；③财政部门认可的政府采购专业担保机构出具的投标担保函；（依法不需要提供财务状况的供应商应提供相关证明）</w:t>
      </w:r>
    </w:p>
    <w:p>
      <w:pPr>
        <w:pStyle w:val="null3"/>
      </w:pPr>
      <w:r>
        <w:rPr>
          <w:rFonts w:ascii="仿宋_GB2312" w:hAnsi="仿宋_GB2312" w:cs="仿宋_GB2312" w:eastAsia="仿宋_GB2312"/>
        </w:rPr>
        <w:t>6、税收缴纳证明：提供响应文件提交截止时间前六个月内至少一个月的纳税证明或完税证明（任意税种），纳税证明或完税证明上应有代收机构或税务机关的公章或业务专用章；（依法不需要缴纳税收的供应商应提供相关证明）</w:t>
      </w:r>
    </w:p>
    <w:p>
      <w:pPr>
        <w:pStyle w:val="null3"/>
      </w:pPr>
      <w:r>
        <w:rPr>
          <w:rFonts w:ascii="仿宋_GB2312" w:hAnsi="仿宋_GB2312" w:cs="仿宋_GB2312" w:eastAsia="仿宋_GB2312"/>
        </w:rPr>
        <w:t>7、社会保障资金缴纳证明：提供响应文件提交截止时间前六个月内至少一个月的社会保障资金缴存单据或社保机构开具的社会保险参保缴费情况证明，单据或证明上应有社保机构或代收机构的公章或业务专用章；（依法不需要缴纳社会保障资金的供应商应提供相关证明）</w:t>
      </w:r>
    </w:p>
    <w:p>
      <w:pPr>
        <w:pStyle w:val="null3"/>
      </w:pPr>
      <w:r>
        <w:rPr>
          <w:rFonts w:ascii="仿宋_GB2312" w:hAnsi="仿宋_GB2312" w:cs="仿宋_GB2312" w:eastAsia="仿宋_GB2312"/>
        </w:rPr>
        <w:t>8、 无重大违法记录的书面声明：出具参加本次政府采购活动前三年内在经营活动中没有重大违法记录的书面声明。</w:t>
      </w:r>
    </w:p>
    <w:p>
      <w:pPr>
        <w:pStyle w:val="null3"/>
      </w:pPr>
      <w:r>
        <w:rPr>
          <w:rFonts w:ascii="仿宋_GB2312" w:hAnsi="仿宋_GB2312" w:cs="仿宋_GB2312" w:eastAsia="仿宋_GB2312"/>
        </w:rPr>
        <w:t>9、控股管理关系：提供直接控股和管理关系清单。若与其他供应商存在单位负责人为同一人或者存在直接控股、管理关系的，则按无效响应文件处理；</w:t>
      </w:r>
    </w:p>
    <w:p>
      <w:pPr>
        <w:pStyle w:val="null3"/>
      </w:pPr>
      <w:r>
        <w:rPr>
          <w:rFonts w:ascii="仿宋_GB2312" w:hAnsi="仿宋_GB2312" w:cs="仿宋_GB2312" w:eastAsia="仿宋_GB2312"/>
        </w:rPr>
        <w:t>10、设备、技术能力书面声明：提供具有履行合同所必须得设备和专业技术能力书面声明函；</w:t>
      </w:r>
    </w:p>
    <w:p>
      <w:pPr>
        <w:pStyle w:val="null3"/>
      </w:pPr>
      <w:r>
        <w:rPr>
          <w:rFonts w:ascii="仿宋_GB2312" w:hAnsi="仿宋_GB2312" w:cs="仿宋_GB2312" w:eastAsia="仿宋_GB2312"/>
        </w:rPr>
        <w:t>11、信用记录：供应商不得被列入“信用中国”网站（www.creditchina.gov.cn）重大税收违法失信主体，不得被列入“中国执行信息公开网”（https://zxgk.court.gov.cn/shixin/）失信被执行人名单，不得被列入“中国政府采购网”（www.ccgp.gov.cn）政府采购严重违法失信行为记录名单。</w:t>
      </w:r>
    </w:p>
    <w:p>
      <w:pPr>
        <w:pStyle w:val="null3"/>
      </w:pPr>
      <w:r>
        <w:rPr>
          <w:rFonts w:ascii="仿宋_GB2312" w:hAnsi="仿宋_GB2312" w:cs="仿宋_GB2312" w:eastAsia="仿宋_GB2312"/>
        </w:rPr>
        <w:t>12、法定代表人（单位负责人）身份证明/委托授权书：法定代表人（单位负责人）参加磋商的，须出具法定代表人（单位负责人）身份证明书及身份证复印件。法定代表人（单位负责人）授权委托代理人参加磋商的，须出具法定代表人（单位负责人）授权委托书及委托代理人身份证复印件；</w:t>
      </w:r>
    </w:p>
    <w:p>
      <w:pPr>
        <w:pStyle w:val="null3"/>
      </w:pPr>
      <w:r>
        <w:rPr>
          <w:rFonts w:ascii="仿宋_GB2312" w:hAnsi="仿宋_GB2312" w:cs="仿宋_GB2312" w:eastAsia="仿宋_GB2312"/>
        </w:rPr>
        <w:t>13、非联合体：本项目不接受联合体磋商。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乾县农村综合改革领导小组办公室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乾县城关街办东新街15号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段工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13700201899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中科经纬工程技术有限公司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陕西省咸阳市高新技术产业开发区香柏路锦业壹号3号楼1单元5层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元列娟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19916367735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乾县财政局采购股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吴翌臻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13772572080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采购包1：733,170.75元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代理服务费收费标准：1.参考国家计委关于《招标代理服务收费管理暂行办法》（计价格[2002]1980 号）中服务招标的收费标准和国家发展改革委员会办公厅颁发的《关于招标代理服务收费有关问题的通知》（发改办价格[2011]534号）的规定标准，按照差额定率累进法计算。2.成交人在领取《成交通知书》之前，向采购代理机构一次付清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乾县农村综合改革领导小组办公室</w:t>
      </w:r>
      <w:r>
        <w:rPr>
          <w:rFonts w:ascii="仿宋_GB2312" w:hAnsi="仿宋_GB2312" w:cs="仿宋_GB2312" w:eastAsia="仿宋_GB2312"/>
        </w:rPr>
        <w:t>和</w:t>
      </w:r>
      <w:r>
        <w:rPr>
          <w:rFonts w:ascii="仿宋_GB2312" w:hAnsi="仿宋_GB2312" w:cs="仿宋_GB2312" w:eastAsia="仿宋_GB2312"/>
        </w:rPr>
        <w:t>中科经纬工程技术有限公司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乾县农村综合改革领导小组办公室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中科经纬工程技术有限公司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乾县农村综合改革领导小组办公室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中科经纬工程技术有限公司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完全响应竞争性磋商文件及合同约定执行。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联系人：元列娟</w:t>
      </w:r>
    </w:p>
    <w:p>
      <w:pPr>
        <w:pStyle w:val="null3"/>
      </w:pPr>
      <w:r>
        <w:rPr>
          <w:rFonts w:ascii="仿宋_GB2312" w:hAnsi="仿宋_GB2312" w:cs="仿宋_GB2312" w:eastAsia="仿宋_GB2312"/>
        </w:rPr>
        <w:t>联系电话：19916367735</w:t>
      </w:r>
    </w:p>
    <w:p>
      <w:pPr>
        <w:pStyle w:val="null3"/>
      </w:pPr>
      <w:r>
        <w:rPr>
          <w:rFonts w:ascii="仿宋_GB2312" w:hAnsi="仿宋_GB2312" w:cs="仿宋_GB2312" w:eastAsia="仿宋_GB2312"/>
        </w:rPr>
        <w:t>地址：陕西省咸阳市高新技术产业开发区香柏路锦业壹号3号楼1单元5层</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733,170.75</w:t>
      </w:r>
    </w:p>
    <w:p>
      <w:pPr>
        <w:pStyle w:val="null3"/>
      </w:pPr>
      <w:r>
        <w:rPr>
          <w:rFonts w:ascii="仿宋_GB2312" w:hAnsi="仿宋_GB2312" w:cs="仿宋_GB2312" w:eastAsia="仿宋_GB2312"/>
        </w:rPr>
        <w:t>采购包最高限价（元）: 733,170.75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基础设施建设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733,170.75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标的名称：基础设施建设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一、项目概况</w:t>
            </w:r>
          </w:p>
          <w:p>
            <w:pPr>
              <w:pStyle w:val="null3"/>
              <w:ind w:firstLine="420"/>
              <w:jc w:val="both"/>
            </w:pPr>
            <w:r>
              <w:rPr>
                <w:rFonts w:ascii="仿宋_GB2312" w:hAnsi="仿宋_GB2312" w:cs="仿宋_GB2312" w:eastAsia="仿宋_GB2312"/>
                <w:sz w:val="21"/>
              </w:rPr>
              <w:t>乾县2025年村级公益事业灵源镇佛留村、五星村、大杨镇杨善村、周城镇董城村、临平镇武兴村、龙背村基础设施建设项目</w:t>
            </w:r>
            <w:r>
              <w:rPr>
                <w:rFonts w:ascii="仿宋_GB2312" w:hAnsi="仿宋_GB2312" w:cs="仿宋_GB2312" w:eastAsia="仿宋_GB2312"/>
                <w:sz w:val="21"/>
              </w:rPr>
              <w:t>。</w:t>
            </w:r>
          </w:p>
          <w:p>
            <w:pPr>
              <w:pStyle w:val="null3"/>
              <w:spacing w:before="240" w:after="120"/>
              <w:jc w:val="left"/>
            </w:pPr>
            <w:r>
              <w:rPr>
                <w:rFonts w:ascii="仿宋_GB2312" w:hAnsi="仿宋_GB2312" w:cs="仿宋_GB2312" w:eastAsia="仿宋_GB2312"/>
                <w:sz w:val="24"/>
                <w:b/>
              </w:rPr>
              <w:t>二、工程建设标准</w:t>
            </w:r>
          </w:p>
          <w:p>
            <w:pPr>
              <w:pStyle w:val="null3"/>
              <w:ind w:firstLine="420"/>
              <w:jc w:val="left"/>
            </w:pPr>
            <w:r>
              <w:rPr>
                <w:rFonts w:ascii="仿宋_GB2312" w:hAnsi="仿宋_GB2312" w:cs="仿宋_GB2312" w:eastAsia="仿宋_GB2312"/>
                <w:sz w:val="21"/>
              </w:rPr>
              <w:t>本工程的施工过程和成果必须符合国家有关工程建设标准强制性条文和国家或有关部门关于工程施工方面现行的标准、规范、定额、办法、示例，以及陕西省关于工程施工方面的文件、规定；</w:t>
            </w:r>
          </w:p>
          <w:p>
            <w:pPr>
              <w:pStyle w:val="null3"/>
              <w:ind w:firstLine="420"/>
              <w:jc w:val="left"/>
            </w:pPr>
            <w:r>
              <w:rPr>
                <w:rFonts w:ascii="仿宋_GB2312" w:hAnsi="仿宋_GB2312" w:cs="仿宋_GB2312" w:eastAsia="仿宋_GB2312"/>
                <w:sz w:val="21"/>
              </w:rPr>
              <w:t>招标人可根据工程实际情况增减标准、规范，在施工过程中，如果国家或有关部门颁布了新的技术部分准或规范，则承包人应采用新的标准或规范进行施工。</w:t>
            </w:r>
          </w:p>
          <w:p>
            <w:pPr>
              <w:pStyle w:val="null3"/>
              <w:spacing w:before="240" w:after="120"/>
              <w:jc w:val="left"/>
            </w:pPr>
            <w:r>
              <w:rPr>
                <w:rFonts w:ascii="仿宋_GB2312" w:hAnsi="仿宋_GB2312" w:cs="仿宋_GB2312" w:eastAsia="仿宋_GB2312"/>
                <w:sz w:val="24"/>
                <w:b/>
              </w:rPr>
              <w:t>三、工程地点</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乾县灵源镇佛留村、五星村、大杨镇杨善村、周城镇董城村、临平镇武兴村、龙背村。</w:t>
            </w:r>
          </w:p>
          <w:p>
            <w:pPr>
              <w:pStyle w:val="null3"/>
              <w:jc w:val="left"/>
            </w:pPr>
            <w:r>
              <w:rPr>
                <w:rFonts w:ascii="仿宋_GB2312" w:hAnsi="仿宋_GB2312" w:cs="仿宋_GB2312" w:eastAsia="仿宋_GB2312"/>
                <w:sz w:val="24"/>
                <w:b/>
              </w:rPr>
              <w:t>四、招标内容及</w:t>
            </w:r>
            <w:r>
              <w:rPr>
                <w:rFonts w:ascii="仿宋_GB2312" w:hAnsi="仿宋_GB2312" w:cs="仿宋_GB2312" w:eastAsia="仿宋_GB2312"/>
                <w:sz w:val="24"/>
                <w:b/>
              </w:rPr>
              <w:t>商务</w:t>
            </w:r>
            <w:r>
              <w:rPr>
                <w:rFonts w:ascii="仿宋_GB2312" w:hAnsi="仿宋_GB2312" w:cs="仿宋_GB2312" w:eastAsia="仿宋_GB2312"/>
                <w:sz w:val="24"/>
                <w:b/>
              </w:rPr>
              <w:t>要求</w:t>
            </w:r>
          </w:p>
          <w:p>
            <w:pPr>
              <w:pStyle w:val="null3"/>
              <w:ind w:firstLine="422"/>
              <w:jc w:val="both"/>
            </w:pPr>
            <w:r>
              <w:rPr>
                <w:rFonts w:ascii="仿宋_GB2312" w:hAnsi="仿宋_GB2312" w:cs="仿宋_GB2312" w:eastAsia="仿宋_GB2312"/>
                <w:sz w:val="21"/>
                <w:b/>
              </w:rPr>
              <w:t>1.招标内容：</w:t>
            </w:r>
            <w:r>
              <w:rPr>
                <w:rFonts w:ascii="仿宋_GB2312" w:hAnsi="仿宋_GB2312" w:cs="仿宋_GB2312" w:eastAsia="仿宋_GB2312"/>
                <w:sz w:val="21"/>
              </w:rPr>
              <w:t>乾县2025年村级公益事业灵源镇佛留村、五星村、大杨镇杨善村、周城镇董城村、临平镇武兴村、龙背村基础设施建设项目</w:t>
            </w:r>
            <w:r>
              <w:rPr>
                <w:rFonts w:ascii="仿宋_GB2312" w:hAnsi="仿宋_GB2312" w:cs="仿宋_GB2312" w:eastAsia="仿宋_GB2312"/>
                <w:sz w:val="21"/>
              </w:rPr>
              <w:t>（工程量清单全部内容）</w:t>
            </w:r>
          </w:p>
          <w:p>
            <w:pPr>
              <w:pStyle w:val="null3"/>
              <w:ind w:firstLine="422"/>
              <w:jc w:val="both"/>
            </w:pPr>
            <w:r>
              <w:rPr>
                <w:rFonts w:ascii="仿宋_GB2312" w:hAnsi="仿宋_GB2312" w:cs="仿宋_GB2312" w:eastAsia="仿宋_GB2312"/>
                <w:sz w:val="21"/>
                <w:b/>
              </w:rPr>
              <w:t>2.</w:t>
            </w:r>
            <w:r>
              <w:rPr>
                <w:rFonts w:ascii="仿宋_GB2312" w:hAnsi="仿宋_GB2312" w:cs="仿宋_GB2312" w:eastAsia="仿宋_GB2312"/>
                <w:sz w:val="21"/>
                <w:b/>
              </w:rPr>
              <w:t>商务要求：</w:t>
            </w:r>
          </w:p>
          <w:p>
            <w:pPr>
              <w:pStyle w:val="null3"/>
              <w:ind w:firstLine="420"/>
              <w:jc w:val="both"/>
            </w:pPr>
            <w:r>
              <w:rPr>
                <w:rFonts w:ascii="仿宋_GB2312" w:hAnsi="仿宋_GB2312" w:cs="仿宋_GB2312" w:eastAsia="仿宋_GB2312"/>
                <w:sz w:val="21"/>
              </w:rPr>
              <w:t>2.1</w:t>
            </w:r>
            <w:r>
              <w:rPr>
                <w:rFonts w:ascii="仿宋_GB2312" w:hAnsi="仿宋_GB2312" w:cs="仿宋_GB2312" w:eastAsia="仿宋_GB2312"/>
                <w:sz w:val="21"/>
              </w:rPr>
              <w:t>工期：</w:t>
            </w:r>
            <w:r>
              <w:rPr>
                <w:rFonts w:ascii="仿宋_GB2312" w:hAnsi="仿宋_GB2312" w:cs="仿宋_GB2312" w:eastAsia="仿宋_GB2312"/>
                <w:sz w:val="21"/>
              </w:rPr>
              <w:t>90</w:t>
            </w:r>
            <w:r>
              <w:rPr>
                <w:rFonts w:ascii="仿宋_GB2312" w:hAnsi="仿宋_GB2312" w:cs="仿宋_GB2312" w:eastAsia="仿宋_GB2312"/>
                <w:sz w:val="21"/>
              </w:rPr>
              <w:t>日历天</w:t>
            </w:r>
          </w:p>
          <w:p>
            <w:pPr>
              <w:pStyle w:val="null3"/>
              <w:ind w:firstLine="420"/>
              <w:jc w:val="both"/>
            </w:pPr>
            <w:r>
              <w:rPr>
                <w:rFonts w:ascii="仿宋_GB2312" w:hAnsi="仿宋_GB2312" w:cs="仿宋_GB2312" w:eastAsia="仿宋_GB2312"/>
                <w:sz w:val="21"/>
              </w:rPr>
              <w:t>2.2</w:t>
            </w:r>
            <w:r>
              <w:rPr>
                <w:rFonts w:ascii="仿宋_GB2312" w:hAnsi="仿宋_GB2312" w:cs="仿宋_GB2312" w:eastAsia="仿宋_GB2312"/>
                <w:sz w:val="21"/>
              </w:rPr>
              <w:t>工程款（进度款）支付：</w:t>
            </w:r>
          </w:p>
          <w:p>
            <w:pPr>
              <w:pStyle w:val="null3"/>
              <w:ind w:firstLine="420"/>
              <w:jc w:val="both"/>
            </w:pPr>
            <w:r>
              <w:rPr>
                <w:rFonts w:ascii="仿宋_GB2312" w:hAnsi="仿宋_GB2312" w:cs="仿宋_GB2312" w:eastAsia="仿宋_GB2312"/>
                <w:sz w:val="21"/>
              </w:rPr>
              <w:t xml:space="preserve">  （1）.项目开始材料进场后，达到付款条件起15日内，支付合同总金额的50%。</w:t>
            </w:r>
          </w:p>
          <w:p>
            <w:pPr>
              <w:pStyle w:val="null3"/>
            </w:pPr>
            <w:r>
              <w:rPr>
                <w:rFonts w:ascii="仿宋_GB2312" w:hAnsi="仿宋_GB2312" w:cs="仿宋_GB2312" w:eastAsia="仿宋_GB2312"/>
                <w:sz w:val="21"/>
              </w:rPr>
              <w:t xml:space="preserve">  （2）.同时按照施工进度付款，待工程竣工验收合格后，达到付款条件起15日内，支付合同总金</w:t>
            </w:r>
            <w:r>
              <w:rPr>
                <w:rFonts w:ascii="仿宋_GB2312" w:hAnsi="仿宋_GB2312" w:cs="仿宋_GB2312" w:eastAsia="仿宋_GB2312"/>
                <w:sz w:val="21"/>
              </w:rPr>
              <w:t>额的47%。</w:t>
            </w:r>
          </w:p>
          <w:p>
            <w:pPr>
              <w:pStyle w:val="null3"/>
            </w:pPr>
            <w:r>
              <w:rPr>
                <w:rFonts w:ascii="仿宋_GB2312" w:hAnsi="仿宋_GB2312" w:cs="仿宋_GB2312" w:eastAsia="仿宋_GB2312"/>
                <w:sz w:val="21"/>
              </w:rPr>
              <w:t xml:space="preserve">  （3）.剩余3%作为质保金，保修期为1年（保修期符合国家相关规定，自工程竣工验收合格之日</w:t>
            </w:r>
            <w:r>
              <w:rPr>
                <w:rFonts w:ascii="仿宋_GB2312" w:hAnsi="仿宋_GB2312" w:cs="仿宋_GB2312" w:eastAsia="仿宋_GB2312"/>
                <w:sz w:val="21"/>
              </w:rPr>
              <w:t>起算），达到付款条件起15日内，支付合同总金额的3%。</w:t>
            </w:r>
          </w:p>
          <w:p>
            <w:pPr>
              <w:pStyle w:val="null3"/>
              <w:ind w:firstLine="420"/>
              <w:jc w:val="both"/>
            </w:pPr>
            <w:r>
              <w:rPr>
                <w:rFonts w:ascii="仿宋_GB2312" w:hAnsi="仿宋_GB2312" w:cs="仿宋_GB2312" w:eastAsia="仿宋_GB2312"/>
                <w:sz w:val="21"/>
              </w:rPr>
              <w:t>2.3</w:t>
            </w:r>
            <w:r>
              <w:rPr>
                <w:rFonts w:ascii="仿宋_GB2312" w:hAnsi="仿宋_GB2312" w:cs="仿宋_GB2312" w:eastAsia="仿宋_GB2312"/>
                <w:sz w:val="21"/>
              </w:rPr>
              <w:t>质量要求：符合国家现行《工程施工质量验收规范》合格标准</w:t>
            </w:r>
          </w:p>
          <w:p>
            <w:pPr>
              <w:pStyle w:val="null3"/>
              <w:jc w:val="left"/>
            </w:pPr>
            <w:r>
              <w:rPr>
                <w:rFonts w:ascii="仿宋_GB2312" w:hAnsi="仿宋_GB2312" w:cs="仿宋_GB2312" w:eastAsia="仿宋_GB2312"/>
                <w:sz w:val="24"/>
                <w:b/>
              </w:rPr>
              <w:t>五、其他要求</w:t>
            </w:r>
          </w:p>
          <w:p>
            <w:pPr>
              <w:pStyle w:val="null3"/>
              <w:ind w:firstLine="210"/>
              <w:jc w:val="both"/>
            </w:pPr>
            <w:r>
              <w:rPr>
                <w:rFonts w:ascii="仿宋_GB2312" w:hAnsi="仿宋_GB2312" w:cs="仿宋_GB2312" w:eastAsia="仿宋_GB2312"/>
                <w:sz w:val="21"/>
              </w:rPr>
              <w:t>1.本项目按照综合报价的方式进行，综合单价包含但不限于各种规费、税费、管理费等。</w:t>
            </w:r>
          </w:p>
          <w:p>
            <w:pPr>
              <w:pStyle w:val="null3"/>
            </w:pPr>
            <w:r>
              <w:rPr>
                <w:rFonts w:ascii="仿宋_GB2312" w:hAnsi="仿宋_GB2312" w:cs="仿宋_GB2312" w:eastAsia="仿宋_GB2312"/>
                <w:sz w:val="21"/>
              </w:rPr>
              <w:t xml:space="preserve"> 2.其他未尽事宜由供需双方在采购合同中详细约定。</w:t>
            </w:r>
          </w:p>
          <w:p>
            <w:pPr>
              <w:pStyle w:val="null3"/>
            </w:pPr>
            <w:r>
              <w:rPr>
                <w:rFonts w:ascii="仿宋_GB2312" w:hAnsi="仿宋_GB2312" w:cs="仿宋_GB2312" w:eastAsia="仿宋_GB2312"/>
                <w:sz w:val="24"/>
                <w:b/>
              </w:rPr>
              <w:t>六、违约责任</w:t>
            </w:r>
          </w:p>
          <w:p>
            <w:pPr>
              <w:pStyle w:val="null3"/>
            </w:pPr>
            <w:r>
              <w:rPr>
                <w:rFonts w:ascii="仿宋_GB2312" w:hAnsi="仿宋_GB2312" w:cs="仿宋_GB2312" w:eastAsia="仿宋_GB2312"/>
                <w:sz w:val="21"/>
              </w:rPr>
              <w:t xml:space="preserve"> 1.按《中华人民共和国政府采购法》、《中华人民共和国民法典》中的相关条款执行。</w:t>
            </w:r>
          </w:p>
          <w:p>
            <w:pPr>
              <w:pStyle w:val="null3"/>
            </w:pPr>
            <w:r>
              <w:rPr>
                <w:rFonts w:ascii="仿宋_GB2312" w:hAnsi="仿宋_GB2312" w:cs="仿宋_GB2312" w:eastAsia="仿宋_GB2312"/>
                <w:sz w:val="21"/>
              </w:rPr>
              <w:t xml:space="preserve"> 2.未按合同或采购文件要求提供的产品或者服务，质量不能满足采购人技术要求，采购人有权终止合同</w:t>
            </w:r>
            <w:r>
              <w:rPr>
                <w:rFonts w:ascii="仿宋_GB2312" w:hAnsi="仿宋_GB2312" w:cs="仿宋_GB2312" w:eastAsia="仿宋_GB2312"/>
                <w:sz w:val="21"/>
              </w:rPr>
              <w:t>，甚至对供应商违约行为进行追究。</w:t>
            </w:r>
          </w:p>
          <w:p>
            <w:pPr>
              <w:pStyle w:val="null3"/>
              <w:ind w:firstLine="210"/>
              <w:jc w:val="both"/>
            </w:pPr>
            <w:r>
              <w:rPr>
                <w:rFonts w:ascii="仿宋_GB2312" w:hAnsi="仿宋_GB2312" w:cs="仿宋_GB2312" w:eastAsia="仿宋_GB2312"/>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达到国家现行技术标准、行业标准及采购人“合格”要求。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具体内容详见工程量清单。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（一）落实的政府采购政策: （1）《节能产品政府采购实施意见》（财库〔2004〕185号）；（2）《环境标志产品政府采购实施的意见》（财库〔2006〕90号）;（3）《国务院办公厅关于建立政府强制采购节能产品制度的通知》（国办发〔2007〕51号）;（4）《财政部 司法部 关于政府采购支持监狱企业发展有关问题的通知》（财库〔2014〕68号）；（5）《关于在政府采购活动中查询及使用信用记录有关问题的通知》（财库〔2016〕125号）；（6）《关于促进残疾人就业政府采购政策的通知》（财库〔2017〕141号）（7）《财政部 发展改革委 生态环境部 市场监管总局关于调整优化节能产品、 环境标志产品政府采购执行机制的通知》（财库〔2019〕9号）；（8）《财政部 国务院扶贫办关于运用政府采购政策支持脱贫攻坚的通知》（财库〔2019〕27号）；（9）《财政部 农业农村部 国家乡村振兴局关于运用政府采购政策支持乡村产业振兴的通知》（财库〔2021〕19号）、《财政部 农业农村部 国家乡村振兴局 中华全国供销合作总社关于印发&lt;关于深入开展政府采购脱贫地区农副产品工作推进乡村产业振兴的实施意见&gt;的 通知》（财库〔2021〕20号）；（10）《政府采购促进中小企业发展管理办法》（财库〔2020〕46号）、《关于进一步加大政府采购支持中小企业力度的通知》（财库〔2022〕19号）；（11）关于印发《商品包装政府采购需求标准（试行）》、《快递包装政府采购需求标准（试行）》的 通知（财办库〔2020〕123号）；（12）《财政部关于在政府采购活动中落实平等对待内外资企业有关政策的通知》（财库〔2021〕35号）；（13）《陕西省财政厅关于印发《陕西省中小企业政府采购信用融资办法》（陕财办采〔2018〕23号）、《陕西省财政厅关于加快推进我省中小企业政府采购信用融资工作的通知》（陕财办采〔2020〕15号）；（14）《陕西省财政厅关于进一步加强政府绿色采购有关问题的通知》（陕财办采〔2021〕29号）；（15）《陕西省财政厅关于进一步加大政府采购支持中小企业力度的通知》（陕财办采〔2022〕5号）；（16）如有最新颁布的政府采购政策，按最新的文件执行。（二）为顺利推进政府采购电子化交易平台试点应用工作，供应商需在线提交所有通过电子化交易平台实施的政府采购项目的投标（响应）文件。供应商中标（成交）后，须线下提交纸质投标（响应）文件叁份、U盘贰份（U盘内储存通过电子化交易平台上传的最终版PDF投标响应文件，以及电子版清单报价文件）。递交地址：陕西省咸阳市高新技术产业开发区香柏路锦业壹号3号楼1单元5层招标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拒绝政府采购领域商业贿赂承诺书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落实政府采购政策资格审查</w:t>
            </w:r>
          </w:p>
        </w:tc>
        <w:tc>
          <w:tcPr>
            <w:tcW w:type="dxa" w:w="3322"/>
          </w:tcPr>
          <w:p>
            <w:pPr>
              <w:pStyle w:val="null3"/>
            </w:pPr>
            <w:r>
              <w:rPr>
                <w:rFonts w:ascii="仿宋_GB2312" w:hAnsi="仿宋_GB2312" w:cs="仿宋_GB2312" w:eastAsia="仿宋_GB2312"/>
              </w:rPr>
              <w:t>1）《国务院办公厅关于建立政府强制采购节能产品制度的通知》（国办发〔2007〕51号）;（2）《财政部 司法部 关于政府采购支持监狱企业发展有关问题的通知》（财库〔2014〕68号）；（3）《关于在政府采购活动中查询及使用信用记录有关问题的通知》（财库〔2016〕125号）；（4）《关于促进残疾人就业政府采购政策的通知》（财库〔2017〕141号）；（5）《财政部 发展改革委 生态环境部 市场监管总局关于调整优化节能产品、环境标志产品政府采购执行机制的通知》（财库〔2019〕9号）；（6）《财政部 国务院扶贫办关于运用政府采购政策支持脱贫攻坚的通知》（财库〔2019〕27号）；（7）《财政部 农业农村部 国家乡村振兴局关于运用政府采购政策支持乡村产业振兴的通知》（财库〔2021〕19号）、《财政部 农业农村部 国家乡村振兴局 中华全国供销合作总社关于印发&lt;关于深入开展政府采购脱贫地区农副产品工作推进乡村产业振兴的实施意见&gt;的 通知》（财库〔2021〕20号）；（8）《政府采购促进中小企业发展管理办法》（财库〔2020〕46号）、《关于进一步加大政府采购支持中小企业力度的通知》（财库〔2022〕19号）；（9）关于印发《商品包装政府采购需求标准（试行）》、《快递包装政府采购需求标准（试行）》的通知（财办库〔2020〕123号）；（10）《财政部关于在政府采购活动中落实平等对待内外资企业有关政策的通知》（财库 〔2021〕35号）；（11）《陕西省财政厅关于印发《陕西省中小企业政府采购信用融资办法》（陕财办采〔2018〕23号）、《陕西省财政厅关于加快推进我省中小企业政府采购信用融资工作的通知》（陕财 办采〔2020〕15号）；（12）《陕西省财政厅关于进一步加强政府绿色采购有关问题的通知》（陕财办采〔2021〕29号）；（13）《陕西省财政厅关于进一步加大政府采购支持中小企业力度的通知》（陕财办采〔2022〕5号）；（14）如有最新颁布的政府采购政策，按最新的文件执行。</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供应商须具有建设行政主管部门颁发的市政公用工程施工总承包三级及以上资质，且具备有效的安全生产许可证；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拟派项目经理须具备建设行政主管部门颁发的市政公用工程专业二级及以上注册建造师执业资格，具备有效的安全生产考核合格证书（B证），在本单位注册，且无在建项目；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基本信息查询</w:t>
            </w:r>
          </w:p>
        </w:tc>
        <w:tc>
          <w:tcPr>
            <w:tcW w:type="dxa" w:w="3322"/>
          </w:tcPr>
          <w:p>
            <w:pPr>
              <w:pStyle w:val="null3"/>
            </w:pPr>
            <w:r>
              <w:rPr>
                <w:rFonts w:ascii="仿宋_GB2312" w:hAnsi="仿宋_GB2312" w:cs="仿宋_GB2312" w:eastAsia="仿宋_GB2312"/>
              </w:rPr>
              <w:t>供应商及拟派项目经理的基本信息在“陕西省建筑市场监管与诚信信息发布平台”可查询，外省进陕施工企业需提供陕西省住房和城乡建设厅官网企业库外省进陕施工企业及项目经理基本信息；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三种形式的资料提供任何一种即可）①提供2024年财务审计报告（成立时间至磋商时间不足一年的可提供成立后任意时段的资产负债表）；②提供基本存款账户信息及磋商日期前三个月内其基本存款账户开户银行出具的资信证明；③财政部门认可的政府采购专业担保机构出具的投标担保函；（依法不需要提供财务状况的供应商应提供相关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提供响应文件提交截止时间前六个月内至少一个月的纳税证明或完税证明（任意税种），纳税证明或完税证明上应有代收机构或税务机关的公章或业务专用章；（依法不需要缴纳税收的供应商应提供相关证明）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提交截止时间前六个月内至少一个月的社会保障资金缴存单据或社保机构开具的社会保险参保缴费情况证明，单据或证明上应有社保机构或代收机构的公章或业务专用章；（依法不需要缴纳社会保障资金的供应商应提供相关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 xml:space="preserve"> 无重大违法记录的书面声明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提供直接控股和管理关系清单。若与其他供应商存在单位负责人为同一人或者存在直接控股、管理关系的，则按无效响应文件处理；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设备、技术能力书面声明</w:t>
            </w:r>
          </w:p>
        </w:tc>
        <w:tc>
          <w:tcPr>
            <w:tcW w:type="dxa" w:w="3322"/>
          </w:tcPr>
          <w:p>
            <w:pPr>
              <w:pStyle w:val="null3"/>
            </w:pPr>
            <w:r>
              <w:rPr>
                <w:rFonts w:ascii="仿宋_GB2312" w:hAnsi="仿宋_GB2312" w:cs="仿宋_GB2312" w:eastAsia="仿宋_GB2312"/>
              </w:rPr>
              <w:t>提供具有履行合同所必须得设备和专业技术能力书面声明函；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被列入“信用中国”网站（www.creditchina.gov.cn）重大税收违法失信主体，不得被列入“中国执行信息公开网”（https://zxgk.court.gov.cn/shixin/）失信被执行人名单，不得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法定代表人（单位负责人）身份证明/委托授权书</w:t>
            </w:r>
          </w:p>
        </w:tc>
        <w:tc>
          <w:tcPr>
            <w:tcW w:type="dxa" w:w="3322"/>
          </w:tcPr>
          <w:p>
            <w:pPr>
              <w:pStyle w:val="null3"/>
            </w:pPr>
            <w:r>
              <w:rPr>
                <w:rFonts w:ascii="仿宋_GB2312" w:hAnsi="仿宋_GB2312" w:cs="仿宋_GB2312" w:eastAsia="仿宋_GB2312"/>
              </w:rPr>
              <w:t>法定代表人（单位负责人）参加磋商的，须出具法定代表人（单位负责人）身份证明书及身份证复印件。法定代表人（单位负责人）授权委托代理人参加磋商的，须出具法定代表人（单位负责人）授权委托书及委托代理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至少以下三处的项目名称、项目编号、合同包（未分合同包的除外）与本项目完全一致：（1）响应文件封面 （2）响应函 （3）法定代表人（单位负责人）身份证明/委托授权书；</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响应文件组成</w:t>
            </w:r>
          </w:p>
        </w:tc>
        <w:tc>
          <w:tcPr>
            <w:tcW w:type="dxa" w:w="3322"/>
          </w:tcPr>
          <w:p>
            <w:pPr>
              <w:pStyle w:val="null3"/>
            </w:pPr>
            <w:r>
              <w:rPr>
                <w:rFonts w:ascii="仿宋_GB2312" w:hAnsi="仿宋_GB2312" w:cs="仿宋_GB2312" w:eastAsia="仿宋_GB2312"/>
              </w:rPr>
              <w:t>响应文件完整且编排有序，响应内容基本完整，无重大错漏；</w:t>
            </w:r>
          </w:p>
        </w:tc>
        <w:tc>
          <w:tcPr>
            <w:tcW w:type="dxa" w:w="1661"/>
          </w:tcPr>
          <w:p>
            <w:pPr>
              <w:pStyle w:val="null3"/>
            </w:pPr>
            <w:r>
              <w:rPr>
                <w:rFonts w:ascii="仿宋_GB2312" w:hAnsi="仿宋_GB2312" w:cs="仿宋_GB2312" w:eastAsia="仿宋_GB2312"/>
              </w:rPr>
              <w:t>商务响应偏离表 已标价工程量清单 中小企业声明函 技术服务合同条款及其他商务要求应答表 供应商应提交的相关资格证明材料 拒绝政府采购领域商业贿赂承诺书 响应文件封面 施工技术方案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响应文件编制及签署、盖章</w:t>
            </w:r>
          </w:p>
        </w:tc>
        <w:tc>
          <w:tcPr>
            <w:tcW w:type="dxa" w:w="3322"/>
          </w:tcPr>
          <w:p>
            <w:pPr>
              <w:pStyle w:val="null3"/>
            </w:pPr>
            <w:r>
              <w:rPr>
                <w:rFonts w:ascii="仿宋_GB2312" w:hAnsi="仿宋_GB2312" w:cs="仿宋_GB2312" w:eastAsia="仿宋_GB2312"/>
              </w:rPr>
              <w:t>响应文件编写格式符合磋商文件要求，且签字、盖章有效无遗漏；</w:t>
            </w:r>
          </w:p>
        </w:tc>
        <w:tc>
          <w:tcPr>
            <w:tcW w:type="dxa" w:w="1661"/>
          </w:tcPr>
          <w:p>
            <w:pPr>
              <w:pStyle w:val="null3"/>
            </w:pPr>
            <w:r>
              <w:rPr>
                <w:rFonts w:ascii="仿宋_GB2312" w:hAnsi="仿宋_GB2312" w:cs="仿宋_GB2312" w:eastAsia="仿宋_GB2312"/>
              </w:rPr>
              <w:t>商务响应偏离表 已标价工程量清单 中小企业声明函 技术服务合同条款及其他商务要求应答表 供应商应提交的相关资格证明材料 拒绝政府采购领域商业贿赂承诺书 响应文件封面 施工技术方案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同时满足以下条款：（1）货币单位符合磋商文件要求；（2）未超出最高限价；</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商务响应偏离表 技术服务合同条款及其他商务要求应答表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合同及其它条款</w:t>
            </w:r>
          </w:p>
        </w:tc>
        <w:tc>
          <w:tcPr>
            <w:tcW w:type="dxa" w:w="3322"/>
          </w:tcPr>
          <w:p>
            <w:pPr>
              <w:pStyle w:val="null3"/>
            </w:pPr>
            <w:r>
              <w:rPr>
                <w:rFonts w:ascii="仿宋_GB2312" w:hAnsi="仿宋_GB2312" w:cs="仿宋_GB2312" w:eastAsia="仿宋_GB2312"/>
              </w:rPr>
              <w:t>完全理解并响应磋商文件合同及其它条款的要求，且未含有采购人不能接受的附加条件的；</w:t>
            </w:r>
          </w:p>
        </w:tc>
        <w:tc>
          <w:tcPr>
            <w:tcW w:type="dxa" w:w="1661"/>
          </w:tcPr>
          <w:p>
            <w:pPr>
              <w:pStyle w:val="null3"/>
            </w:pPr>
            <w:r>
              <w:rPr>
                <w:rFonts w:ascii="仿宋_GB2312" w:hAnsi="仿宋_GB2312" w:cs="仿宋_GB2312" w:eastAsia="仿宋_GB2312"/>
              </w:rPr>
              <w:t>商务响应偏离表 技术服务合同条款及其他商务要求应答表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工期是否满足要求；</w:t>
            </w:r>
          </w:p>
        </w:tc>
        <w:tc>
          <w:tcPr>
            <w:tcW w:type="dxa" w:w="1661"/>
          </w:tcPr>
          <w:p>
            <w:pPr>
              <w:pStyle w:val="null3"/>
            </w:pPr>
            <w:r>
              <w:rPr>
                <w:rFonts w:ascii="仿宋_GB2312" w:hAnsi="仿宋_GB2312" w:cs="仿宋_GB2312" w:eastAsia="仿宋_GB2312"/>
              </w:rPr>
              <w:t>已标价工程量清单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供应商针对本项目提供的施工方案与技术措施，包括①工程概况；②施工总体规划(难点分析、应急措施)；③施工准备及施工部署(技术准备、施工现场准备、物资准备、劳动力准备等)；④施工方案与技术措施等内容进行评审：上述内容完全满足项目要求的得12.0分，每缺 少一项内容的扣3.0分，每有一项内容存在缺陷或不足扣1.0分。 缺陷或不足是指：非专门针对本项目或不适用项目特性的情形，内容不完整或虽有内容但描述简单或缺少关键节点、套用其他项目方案、语句不通顺或有歧义、方案内容交叉混乱、方案中内容前后不一致、涉及的规范及标准错误、地点区域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根据供应商针对本项目提供的工程进度计划与措施，包括①详细的项目进度计划(含计划开、竣工日期和施工进度网络图)、②完整的项目工期保证措施、劳动力配备及管理措施、③主要人、料、机配置使用计划及管理措施等内容进行综合评审：上述内容完全满足项目要求的得 9.0分，每缺少一项内容的扣3.0分，每有一项内容存在缺陷或不足扣1.0分，缺陷或不足是指：非专门针对本项目或不适用项目特性的情形，内容不完整或虽有内容但描述简单或缺少关键节点、套用其他项目方案、语句不通顺或有歧义、方案内容交叉混乱、方案中内容前后 不一致、涉及的规范及标准错误、地点区域错误、不利于项目实施、不可能实现的情形等任意一种情形。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质量管理体系措施</w:t>
            </w:r>
          </w:p>
        </w:tc>
        <w:tc>
          <w:tcPr>
            <w:tcW w:type="dxa" w:w="2492"/>
          </w:tcPr>
          <w:p>
            <w:pPr>
              <w:pStyle w:val="null3"/>
            </w:pPr>
            <w:r>
              <w:rPr>
                <w:rFonts w:ascii="仿宋_GB2312" w:hAnsi="仿宋_GB2312" w:cs="仿宋_GB2312" w:eastAsia="仿宋_GB2312"/>
              </w:rPr>
              <w:t>根据供应商针对本项目提供的质量管理体系及保证措施，包括①制定完整的质量保证体系、②确保项目质量的技术组织措施、③针对质量目标及质量控制的保证措施等内容进行评审：上述内容完全满足项目要求的得9.0分，每缺少一项内容的扣3.0分，每有一项内容存在缺陷或不足扣1.0分。缺陷或不足是指：非专门针对本项目或不适用项目特性的情形，内容不完整或虽有内容但描述简单或缺少关键节点、套用其他项目方案、语句不通顺或有歧义、方案内容交叉混乱、方案中内容前后不一致、涉及的规范及标准错误、地点区域错误、不利于项目实施、不可能实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根据供应商针对本项目提供的安全防护及文明施工管理体系与措施，包括①制定完整的文明施工安全保障体系、②制定完整的安全文明施工措施、③安全教育及培训计划等内容进行评审：上述内容完全满足项目要求的得9.0分，每缺少一项内容的扣3.0分，每有一项内容存在缺陷或不足扣1.0分，缺陷或不足是指：非专门针对本项目或不适用项目特性的情形，内容不完整或虽有内容但描述简单或缺少关键节点、套用其他项目方案、语句不通顺或有歧义、方案内容交叉混乱、方案中内容前后不一致、涉及的规范及标准错误、地点区域错误、不利于项目实施、不可能实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根据供应商针对本项目提供的环境保护管理体系与措施，包括①制定完整的环境保护管理体系、②制定完整的环境卫生保护措施、③污染物处理及排放措施、④现场管理人员环境保护职责及操作流程要求内容进行评审：上述内容完全满足项目要求的得12.0分，每缺少一项内 容的扣3.0分，每有一项内容存在缺陷或不足扣1.0分。缺陷或不足是指：非专门针对本项目或不适用项目特性的情形，内容不完整或虽有内容但描述简单或缺少关键节点、套用其他项目方案、语句不通顺或有歧义、方案内容交叉混乱、方案中内容前后不一致、涉及的规范及标准错误、地点区域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项目管理机构人员岗位完整，专业种类齐全，搭配合理，职位分明、有相应的技术能力。1.项目经理及项目部人员配备齐全、专业配套、科学可行，满足项目实际要求得7.0分； 2.项目经理及项目部人员配备较合理、专业较为配套、可行一般，基本满足项目实际要求得4.0分； 3.项目经理及项目部人员配备不够齐全得1.0分； 4.未提供得0分。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突发情况及应急预案</w:t>
            </w:r>
          </w:p>
        </w:tc>
        <w:tc>
          <w:tcPr>
            <w:tcW w:type="dxa" w:w="2492"/>
          </w:tcPr>
          <w:p>
            <w:pPr>
              <w:pStyle w:val="null3"/>
            </w:pPr>
            <w:r>
              <w:rPr>
                <w:rFonts w:ascii="仿宋_GB2312" w:hAnsi="仿宋_GB2312" w:cs="仿宋_GB2312" w:eastAsia="仿宋_GB2312"/>
              </w:rPr>
              <w:t>供应商提供针对本项目施工过程中可能出现的突发情况及应急预案，方案内容应包括①可能出现的突发情况；②应急预案及响应措施。上述内容完全满足项目要求的得6.0分，每缺少一项内容的扣3.0分，每有一项内容存在缺陷或不足扣1.0分，缺陷或不足是指：非专门针 对本项目或不适用项目特性的情形，内容不完整或虽有内容但描述简单或缺少关键节点、套用其他项目方案、语句不通顺或有歧义、方案内容交叉混乱、方案中内容前后不一致、涉及的规范及标准错误、地点区域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供应商自2023年1月1日（含1日）至今，每提供1个有效类似项目业绩得2.0分，最多得6.0分。注：以附有加盖公章的合同或协议书复印件为准；业绩认定时间以合同签订时间为准；类似项目指工程施工类项目。</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即满足磋商文件要求且最后报价最低的供应商的价格为磋商基准价，其价格分为满分。其他供应商的价格分统一按照下列公式计算：磋商报价得分=（磋商基准价/最后磋商报价）×30%×100。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详见附件：施工技术方案</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