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版本号：SXDZZ（2026）018号20260302001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城区行道树、绿篱整形修剪项目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SXDZZ（2026）018号</w:t>
      </w:r>
      <w:r>
        <w:br/>
      </w:r>
      <w:r>
        <w:br/>
      </w:r>
      <w:r>
        <w:br/>
      </w:r>
    </w:p>
    <w:p>
      <w:pPr>
        <w:pStyle w:val="null3"/>
        <w:jc w:val="center"/>
        <w:outlineLvl w:val="2"/>
      </w:pPr>
      <w:r>
        <w:rPr>
          <w:rFonts w:ascii="仿宋_GB2312" w:hAnsi="仿宋_GB2312" w:cs="仿宋_GB2312" w:eastAsia="仿宋_GB2312"/>
          <w:sz w:val="28"/>
          <w:b/>
        </w:rPr>
        <w:t>乾县城区园林绿化管理处</w:t>
      </w:r>
    </w:p>
    <w:p>
      <w:pPr>
        <w:pStyle w:val="null3"/>
        <w:jc w:val="center"/>
        <w:outlineLvl w:val="2"/>
      </w:pPr>
      <w:r>
        <w:rPr>
          <w:rFonts w:ascii="仿宋_GB2312" w:hAnsi="仿宋_GB2312" w:cs="仿宋_GB2312" w:eastAsia="仿宋_GB2312"/>
          <w:sz w:val="28"/>
          <w:b/>
        </w:rPr>
        <w:t>陕西德正建设工程项目管理有限公司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陕西德正建设工程项目管理有限公司</w:t>
      </w:r>
      <w:r>
        <w:rPr>
          <w:rFonts w:ascii="仿宋_GB2312" w:hAnsi="仿宋_GB2312" w:cs="仿宋_GB2312" w:eastAsia="仿宋_GB2312"/>
        </w:rPr>
        <w:t>（以下简称“代理机构”）受</w:t>
      </w:r>
      <w:r>
        <w:rPr>
          <w:rFonts w:ascii="仿宋_GB2312" w:hAnsi="仿宋_GB2312" w:cs="仿宋_GB2312" w:eastAsia="仿宋_GB2312"/>
        </w:rPr>
        <w:t>乾县城区园林绿化管理处</w:t>
      </w:r>
      <w:r>
        <w:rPr>
          <w:rFonts w:ascii="仿宋_GB2312" w:hAnsi="仿宋_GB2312" w:cs="仿宋_GB2312" w:eastAsia="仿宋_GB2312"/>
        </w:rPr>
        <w:t>委托，拟对</w:t>
      </w:r>
      <w:r>
        <w:rPr>
          <w:rFonts w:ascii="仿宋_GB2312" w:hAnsi="仿宋_GB2312" w:cs="仿宋_GB2312" w:eastAsia="仿宋_GB2312"/>
        </w:rPr>
        <w:t>城区行道树、绿篱整形修剪项目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SXDZZ（2026）018号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城区行道树、绿篱整形修剪项目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修剪城区行道树、西兰大街月季等。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采购包1（城区行道树、绿篱整形修剪项目）：属于专门面向中小企业采购。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1、具有独立承担民事责任的能力：具有独立承担民事责任能力的法人、其他组织或自然人，营业执照、组织机构代码 证、税务登记证（三证合一只提供营业执照，事业单位提供事业单位法人证书，自然人应提供身份证）合法有效；</w:t>
      </w:r>
    </w:p>
    <w:p>
      <w:pPr>
        <w:pStyle w:val="null3"/>
      </w:pPr>
      <w:r>
        <w:rPr>
          <w:rFonts w:ascii="仿宋_GB2312" w:hAnsi="仿宋_GB2312" w:cs="仿宋_GB2312" w:eastAsia="仿宋_GB2312"/>
        </w:rPr>
        <w:t>2、供应商身份证明文件：法定代表人直接参加磋商的，须出具法定代表人身份证明书（含法人身份证复印件）；法定代表人授权代表参加磋商的，须出具法定代表人授权书（附法定代表人身份证复印件及被授权人身份证复印件）；</w:t>
      </w:r>
    </w:p>
    <w:p>
      <w:pPr>
        <w:pStyle w:val="null3"/>
      </w:pPr>
      <w:r>
        <w:rPr>
          <w:rFonts w:ascii="仿宋_GB2312" w:hAnsi="仿宋_GB2312" w:cs="仿宋_GB2312" w:eastAsia="仿宋_GB2312"/>
        </w:rPr>
        <w:t>3、书面声明：出具参加本次采购活动前三年内在经营活动中没有重大违法记录的书面声明；</w:t>
      </w:r>
    </w:p>
    <w:p>
      <w:pPr>
        <w:pStyle w:val="null3"/>
      </w:pPr>
      <w:r>
        <w:rPr>
          <w:rFonts w:ascii="仿宋_GB2312" w:hAnsi="仿宋_GB2312" w:cs="仿宋_GB2312" w:eastAsia="仿宋_GB2312"/>
        </w:rPr>
        <w:t>4、设备和专业技术能力的承诺：供应商须提供具有履行合同所必需的设备和专业技术能力的承诺；</w:t>
      </w:r>
    </w:p>
    <w:p>
      <w:pPr>
        <w:pStyle w:val="null3"/>
      </w:pPr>
      <w:r>
        <w:rPr>
          <w:rFonts w:ascii="仿宋_GB2312" w:hAnsi="仿宋_GB2312" w:cs="仿宋_GB2312" w:eastAsia="仿宋_GB2312"/>
        </w:rPr>
        <w:t>5、财务状况报告：提供2024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w:t>
      </w:r>
    </w:p>
    <w:p>
      <w:pPr>
        <w:pStyle w:val="null3"/>
      </w:pPr>
      <w:r>
        <w:rPr>
          <w:rFonts w:ascii="仿宋_GB2312" w:hAnsi="仿宋_GB2312" w:cs="仿宋_GB2312" w:eastAsia="仿宋_GB2312"/>
        </w:rPr>
        <w:t>6、社会保障资金缴纳证明：提供响应文件提交截止时间前6个月内任意一个月已缴纳的社会保障资金缴存单据或社保机构开具的社会保险参保缴费情况证明，依法不需要缴纳社会保障资金的应提供相关文件证明；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7、税收缴纳证明：提供响应文件提交截止时间前6个月内任意一个月已缴纳的完税凭证或税务机关开具的完税证明（任意税种），依法免税的应提供相关文件证明；</w:t>
      </w:r>
    </w:p>
    <w:p>
      <w:pPr>
        <w:pStyle w:val="null3"/>
      </w:pPr>
      <w:r>
        <w:rPr>
          <w:rFonts w:ascii="仿宋_GB2312" w:hAnsi="仿宋_GB2312" w:cs="仿宋_GB2312" w:eastAsia="仿宋_GB2312"/>
        </w:rPr>
        <w:t>8、信誉要求：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9、本项目不接受联合体投标：本项目不接受联合体投标,供应商需保证资质文件的真实、合法、有效。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乾县城区园林绿化管理处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乾县南环路44号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乾县城区园林绿化管理处经办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029-35525622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陕西德正建设工程项目管理有限公司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陕西省咸阳市秦都区人民西路金方圆广场Ｂ座20层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15709202966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采购包1：1,088,129.56元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文件规定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乾县城区园林绿化管理处</w:t>
      </w:r>
      <w:r>
        <w:rPr>
          <w:rFonts w:ascii="仿宋_GB2312" w:hAnsi="仿宋_GB2312" w:cs="仿宋_GB2312" w:eastAsia="仿宋_GB2312"/>
        </w:rPr>
        <w:t>和</w:t>
      </w:r>
      <w:r>
        <w:rPr>
          <w:rFonts w:ascii="仿宋_GB2312" w:hAnsi="仿宋_GB2312" w:cs="仿宋_GB2312" w:eastAsia="仿宋_GB2312"/>
        </w:rPr>
        <w:t>陕西德正建设工程项目管理有限公司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乾县城区园林绿化管理处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陕西德正建设工程项目管理有限公司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乾县城区园林绿化管理处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陕西德正建设工程项目管理有限公司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按采购文件、投标文件及澄清函、项目检查情况等综合指标进行验收。各项指标均应符合验收标准及要求，并符合国家及行业标准要求。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陕西德正建设工程项目管理有限公司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陕西德正建设工程项目管理有限公司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陕西德正建设工程项目管理有限公司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联系人：郭豪</w:t>
      </w:r>
    </w:p>
    <w:p>
      <w:pPr>
        <w:pStyle w:val="null3"/>
      </w:pPr>
      <w:r>
        <w:rPr>
          <w:rFonts w:ascii="仿宋_GB2312" w:hAnsi="仿宋_GB2312" w:cs="仿宋_GB2312" w:eastAsia="仿宋_GB2312"/>
        </w:rPr>
        <w:t>联系电话：15709202966</w:t>
      </w:r>
    </w:p>
    <w:p>
      <w:pPr>
        <w:pStyle w:val="null3"/>
      </w:pPr>
      <w:r>
        <w:rPr>
          <w:rFonts w:ascii="仿宋_GB2312" w:hAnsi="仿宋_GB2312" w:cs="仿宋_GB2312" w:eastAsia="仿宋_GB2312"/>
        </w:rPr>
        <w:t>地址：陕西省咸阳市秦都区人民西路金方圆广场Ｂ座20层</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修剪城区行道树、西兰大街月季等。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1,088,129.56</w:t>
      </w:r>
    </w:p>
    <w:p>
      <w:pPr>
        <w:pStyle w:val="null3"/>
      </w:pPr>
      <w:r>
        <w:rPr>
          <w:rFonts w:ascii="仿宋_GB2312" w:hAnsi="仿宋_GB2312" w:cs="仿宋_GB2312" w:eastAsia="仿宋_GB2312"/>
        </w:rPr>
        <w:t>采购包最高限价（元）: 1,088,129.56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行道树绿篱修剪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1,088,129.56</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标的名称：行道树绿篱修剪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outlineLvl w:val="0"/>
            </w:pPr>
            <w:r>
              <w:rPr>
                <w:rFonts w:ascii="仿宋_GB2312" w:hAnsi="仿宋_GB2312" w:cs="仿宋_GB2312" w:eastAsia="仿宋_GB2312"/>
                <w:sz w:val="36"/>
                <w:b/>
              </w:rPr>
              <w:t>服务内容及要求</w:t>
            </w:r>
          </w:p>
          <w:p>
            <w:pPr>
              <w:pStyle w:val="null3"/>
              <w:outlineLvl w:val="0"/>
            </w:pPr>
            <w:r>
              <w:rPr>
                <w:rFonts w:ascii="仿宋_GB2312" w:hAnsi="仿宋_GB2312" w:cs="仿宋_GB2312" w:eastAsia="仿宋_GB2312"/>
                <w:sz w:val="24"/>
                <w:b/>
              </w:rPr>
              <w:t>一、</w:t>
            </w:r>
            <w:r>
              <w:rPr>
                <w:rFonts w:ascii="仿宋_GB2312" w:hAnsi="仿宋_GB2312" w:cs="仿宋_GB2312" w:eastAsia="仿宋_GB2312"/>
                <w:sz w:val="24"/>
                <w:b/>
              </w:rPr>
              <w:t>服务内容</w:t>
            </w:r>
          </w:p>
          <w:p>
            <w:pPr>
              <w:pStyle w:val="null3"/>
              <w:ind w:firstLine="480"/>
              <w:jc w:val="left"/>
            </w:pPr>
            <w:r>
              <w:rPr>
                <w:rFonts w:ascii="仿宋_GB2312" w:hAnsi="仿宋_GB2312" w:cs="仿宋_GB2312" w:eastAsia="仿宋_GB2312"/>
                <w:sz w:val="24"/>
              </w:rPr>
              <w:t>1、项目名称：城区行道树、绿篱整形修剪项目</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服务范围</w:t>
            </w:r>
            <w:r>
              <w:rPr>
                <w:rFonts w:ascii="仿宋_GB2312" w:hAnsi="仿宋_GB2312" w:cs="仿宋_GB2312" w:eastAsia="仿宋_GB2312"/>
                <w:sz w:val="24"/>
              </w:rPr>
              <w:t>：城区</w:t>
            </w:r>
            <w:r>
              <w:rPr>
                <w:rFonts w:ascii="仿宋_GB2312" w:hAnsi="仿宋_GB2312" w:cs="仿宋_GB2312" w:eastAsia="仿宋_GB2312"/>
                <w:sz w:val="24"/>
              </w:rPr>
              <w:t>、</w:t>
            </w:r>
            <w:r>
              <w:rPr>
                <w:rFonts w:ascii="仿宋_GB2312" w:hAnsi="仿宋_GB2312" w:cs="仿宋_GB2312" w:eastAsia="仿宋_GB2312"/>
                <w:sz w:val="24"/>
              </w:rPr>
              <w:t>西兰大街</w:t>
            </w:r>
            <w:r>
              <w:rPr>
                <w:rFonts w:ascii="仿宋_GB2312" w:hAnsi="仿宋_GB2312" w:cs="仿宋_GB2312" w:eastAsia="仿宋_GB2312"/>
                <w:sz w:val="24"/>
              </w:rPr>
              <w:t>等。</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项目内容：修剪城区行道树、西兰大街月季等。</w:t>
            </w:r>
          </w:p>
          <w:p>
            <w:pPr>
              <w:pStyle w:val="null3"/>
              <w:jc w:val="left"/>
            </w:pPr>
            <w:r>
              <w:rPr>
                <w:rFonts w:ascii="仿宋_GB2312" w:hAnsi="仿宋_GB2312" w:cs="仿宋_GB2312" w:eastAsia="仿宋_GB2312"/>
                <w:sz w:val="24"/>
                <w:b/>
              </w:rPr>
              <w:t>二、质量标准：</w:t>
            </w:r>
            <w:r>
              <w:rPr>
                <w:rFonts w:ascii="仿宋_GB2312" w:hAnsi="仿宋_GB2312" w:cs="仿宋_GB2312" w:eastAsia="仿宋_GB2312"/>
                <w:sz w:val="24"/>
              </w:rPr>
              <w:t>达到国家现行行业验收规范</w:t>
            </w:r>
            <w:r>
              <w:rPr>
                <w:rFonts w:ascii="仿宋_GB2312" w:hAnsi="仿宋_GB2312" w:cs="仿宋_GB2312" w:eastAsia="仿宋_GB2312"/>
                <w:sz w:val="24"/>
              </w:rPr>
              <w:t>“合格”标准</w:t>
            </w:r>
          </w:p>
          <w:p>
            <w:pPr>
              <w:pStyle w:val="null3"/>
              <w:jc w:val="left"/>
            </w:pPr>
            <w:r>
              <w:rPr>
                <w:rFonts w:ascii="仿宋_GB2312" w:hAnsi="仿宋_GB2312" w:cs="仿宋_GB2312" w:eastAsia="仿宋_GB2312"/>
                <w:sz w:val="24"/>
                <w:b/>
              </w:rPr>
              <w:t>三、</w:t>
            </w:r>
            <w:r>
              <w:rPr>
                <w:rFonts w:ascii="仿宋_GB2312" w:hAnsi="仿宋_GB2312" w:cs="仿宋_GB2312" w:eastAsia="仿宋_GB2312"/>
                <w:sz w:val="24"/>
                <w:b/>
              </w:rPr>
              <w:t>服务要求</w:t>
            </w:r>
          </w:p>
          <w:p>
            <w:pPr>
              <w:pStyle w:val="null3"/>
              <w:ind w:firstLine="480"/>
              <w:jc w:val="left"/>
            </w:pPr>
            <w:r>
              <w:rPr>
                <w:rFonts w:ascii="仿宋_GB2312" w:hAnsi="仿宋_GB2312" w:cs="仿宋_GB2312" w:eastAsia="仿宋_GB2312"/>
                <w:sz w:val="24"/>
              </w:rPr>
              <w:t>为提升街区绿化环境，保证苗木健康有序生长，计划对城区行道树及绿篱进行整形修剪，通过整形修剪清理行道树及绿的死枝、枯枝、病虫枝等影响苗木生长的枝条</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修剪本着通风、透气的原则，按照</w:t>
            </w:r>
            <w:r>
              <w:rPr>
                <w:rFonts w:ascii="仿宋_GB2312" w:hAnsi="仿宋_GB2312" w:cs="仿宋_GB2312" w:eastAsia="仿宋_GB2312"/>
                <w:sz w:val="24"/>
              </w:rPr>
              <w:t>"由外及里，由上到下的修剪顺序，必须保持树形、树姿、分枝点高度基本一致，在确保行人和施工安全的前提下，对苗木进行修剪。</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根据树况将分支点以下枝条全部清理干净，清理分支点以上萌芽枝条及枯枝，疏除垂枝，抬高水平枝，以便于行人和车辆通行。</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部分行道树枝繁叶茂遮掩信号灯、路灯、影响电力等设施运行，修剪时要确保树木枝条与信号灯、路灯和电力设施的安全距离。</w:t>
            </w:r>
          </w:p>
          <w:p>
            <w:pPr>
              <w:pStyle w:val="null3"/>
              <w:ind w:firstLine="480"/>
              <w:jc w:val="left"/>
            </w:pPr>
            <w:r>
              <w:rPr>
                <w:rFonts w:ascii="仿宋_GB2312" w:hAnsi="仿宋_GB2312" w:cs="仿宋_GB2312" w:eastAsia="仿宋_GB2312"/>
                <w:sz w:val="24"/>
              </w:rPr>
              <w:t>4、对影响沿途居民生活安全（如树枝扫瓦、堵窗）的枝条进行修剪。</w:t>
            </w:r>
          </w:p>
          <w:p>
            <w:pPr>
              <w:pStyle w:val="null3"/>
              <w:ind w:firstLine="480"/>
              <w:jc w:val="left"/>
            </w:pPr>
            <w:r>
              <w:rPr>
                <w:rFonts w:ascii="仿宋_GB2312" w:hAnsi="仿宋_GB2312" w:cs="仿宋_GB2312" w:eastAsia="仿宋_GB2312"/>
                <w:sz w:val="24"/>
              </w:rPr>
              <w:t>5、修剪时锯口应保持平滑，及时对锯口进行保护处理（如在伤口处涂抹保护剂封闭树木伤口）</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道路车辆人员较多修剪时应协调交通部门，做好交通疏导，同时及时处理修剪下的枝条确保施工现场环境整洁，及行人车辆安全。</w:t>
            </w:r>
          </w:p>
          <w:p>
            <w:pPr>
              <w:pStyle w:val="null3"/>
              <w:jc w:val="left"/>
            </w:pPr>
            <w:r>
              <w:rPr>
                <w:rFonts w:ascii="仿宋_GB2312" w:hAnsi="仿宋_GB2312" w:cs="仿宋_GB2312" w:eastAsia="仿宋_GB2312"/>
                <w:sz w:val="24"/>
                <w:b/>
              </w:rPr>
              <w:t>四、</w:t>
            </w:r>
            <w:r>
              <w:rPr>
                <w:rFonts w:ascii="仿宋_GB2312" w:hAnsi="仿宋_GB2312" w:cs="仿宋_GB2312" w:eastAsia="仿宋_GB2312"/>
                <w:sz w:val="24"/>
                <w:b/>
              </w:rPr>
              <w:t>服务期：</w:t>
            </w:r>
            <w:r>
              <w:rPr>
                <w:rFonts w:ascii="仿宋_GB2312" w:hAnsi="仿宋_GB2312" w:cs="仿宋_GB2312" w:eastAsia="仿宋_GB2312"/>
                <w:sz w:val="24"/>
              </w:rPr>
              <w:t>30日历天</w:t>
            </w:r>
          </w:p>
          <w:p>
            <w:pPr>
              <w:pStyle w:val="null3"/>
              <w:jc w:val="left"/>
            </w:pPr>
            <w:r>
              <w:rPr>
                <w:rFonts w:ascii="仿宋_GB2312" w:hAnsi="仿宋_GB2312" w:cs="仿宋_GB2312" w:eastAsia="仿宋_GB2312"/>
                <w:sz w:val="24"/>
                <w:b/>
              </w:rPr>
              <w:t>五、</w:t>
            </w:r>
            <w:r>
              <w:rPr>
                <w:rFonts w:ascii="仿宋_GB2312" w:hAnsi="仿宋_GB2312" w:cs="仿宋_GB2312" w:eastAsia="仿宋_GB2312"/>
                <w:sz w:val="24"/>
                <w:b/>
              </w:rPr>
              <w:t>验收要求：</w:t>
            </w:r>
            <w:r>
              <w:rPr>
                <w:rFonts w:ascii="仿宋_GB2312" w:hAnsi="仿宋_GB2312" w:cs="仿宋_GB2312" w:eastAsia="仿宋_GB2312"/>
                <w:sz w:val="24"/>
              </w:rPr>
              <w:t>采购人按照相关规定进行验收</w:t>
            </w:r>
          </w:p>
          <w:p>
            <w:pPr>
              <w:pStyle w:val="null3"/>
              <w:jc w:val="left"/>
            </w:pPr>
            <w:r>
              <w:rPr>
                <w:rFonts w:ascii="仿宋_GB2312" w:hAnsi="仿宋_GB2312" w:cs="仿宋_GB2312" w:eastAsia="仿宋_GB2312"/>
                <w:sz w:val="24"/>
                <w:b/>
              </w:rPr>
              <w:t>六、付款方式：</w:t>
            </w:r>
          </w:p>
          <w:p>
            <w:pPr>
              <w:pStyle w:val="null3"/>
              <w:ind w:firstLine="480"/>
              <w:jc w:val="both"/>
            </w:pPr>
            <w:r>
              <w:rPr>
                <w:rFonts w:ascii="仿宋_GB2312" w:hAnsi="仿宋_GB2312" w:cs="仿宋_GB2312" w:eastAsia="仿宋_GB2312"/>
                <w:sz w:val="24"/>
              </w:rPr>
              <w:t>1、本</w:t>
            </w:r>
            <w:r>
              <w:rPr>
                <w:rFonts w:ascii="仿宋_GB2312" w:hAnsi="仿宋_GB2312" w:cs="仿宋_GB2312" w:eastAsia="仿宋_GB2312"/>
                <w:sz w:val="24"/>
              </w:rPr>
              <w:t>项目完成且验收达到国家相关行业验收</w:t>
            </w:r>
            <w:r>
              <w:rPr>
                <w:rFonts w:ascii="仿宋_GB2312" w:hAnsi="仿宋_GB2312" w:cs="仿宋_GB2312" w:eastAsia="仿宋_GB2312"/>
                <w:sz w:val="24"/>
              </w:rPr>
              <w:t>“合格”标准，达到付款条件起10日内，支付合同总金额的70.00%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2、项目完成结算审计后，达到付款条件起10日内，支付合同总金额的 30.00%。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根据项目需求合理提供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根据项目需求合理提供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1.项目竣工后，中标人向采购人提交验收申请。 2.采购人收到验收申请后组织验收，验收时中标人应无条件予以配合并提供验收所需的全部资料，若中标人不配合或者未达到合同约定的，采购人将拒绝验收。3.验收依据：招标文件、投标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项目完成且验收达到国家相关行业验收“合格”标准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项目完成结算审计后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合同执行中发生争议的，当事人双方应协商解决。协商达不成一致时，可向当地行政仲裁机关申请仲裁或者向人民法院提请诉讼。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 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供应商身份证明文件</w:t>
            </w:r>
          </w:p>
        </w:tc>
        <w:tc>
          <w:tcPr>
            <w:tcW w:type="dxa" w:w="3322"/>
          </w:tcPr>
          <w:p>
            <w:pPr>
              <w:pStyle w:val="null3"/>
            </w:pPr>
            <w:r>
              <w:rPr>
                <w:rFonts w:ascii="仿宋_GB2312" w:hAnsi="仿宋_GB2312" w:cs="仿宋_GB2312" w:eastAsia="仿宋_GB2312"/>
              </w:rPr>
              <w:t>法定代表人直接参加磋商的，须出具法定代表人身份证明书（含法人身份证复印件）；法定代表人授权代表参加磋商的，须出具法定代表人授权书（附法定代表人身份证复印件及被授权人身份证复印件）；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提供响应文件提交截止时间前6个月内任意一个月已缴纳的社会保障资金缴存单据或社保机构开具的社会保险参保缴费情况证明，依法不需要缴纳社会保障资金的应提供相关文件证明；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提供响应文件提交截止时间前6个月内任意一个月已缴纳的完税凭证或税务机关开具的完税证明（任意税种），依法免税的应提供相关文件证明；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本项目不接受联合体投标,供应商需保证资质文件的真实、合法、有效。</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服务方案 标的清单 报价表 商务应答表.docx 服务内容及服务要求应答表.docx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评委根据供应商所提供的项目实施方案进行相应评分，包括但不限于：①作业区域的作业内容；②作业时间；③服务人员安排；④作业方法等内容。以上评审内容，每项6分，满分24分。 （1）内容完整，合理性强、可行性强，每项得6分； （2）内容完整，但未针对各项内容进行详细描述，每项得4分； （3）内容较完整，合理性一般、可行性一般，每项得2分； （4）内容有缺项或未提供相关内容的，根据评审内容此项得0分。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专业人员配备合理、全面、满足项目需求，人员分工、岗位职责明确。 根据人员架构的设置情况是否充分，是否覆盖与本项目相关的专业技术能力，岗位划分是否清晰，职责是否明确进行得分（满分9分）： (1)项目组人员配备方案非常完整、非常合理，针对性及可实施性非常强，完全满足项目需求得9分； (2)方案比较完整、比较合理，具有一定的针对性及可实施性，基本满足招标文件要求，得6分； (3)方案完整度一般、合理性一般，针对性及可实施性一般，基本满足招标文件要求，部分满足项目需求得3分； (4)方案过于简单，不能满足要求，或未提供相关内容不得分。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拟投入作业设备、物资及劳保用品配备</w:t>
            </w:r>
          </w:p>
        </w:tc>
        <w:tc>
          <w:tcPr>
            <w:tcW w:type="dxa" w:w="2492"/>
          </w:tcPr>
          <w:p>
            <w:pPr>
              <w:pStyle w:val="null3"/>
            </w:pPr>
            <w:r>
              <w:rPr>
                <w:rFonts w:ascii="仿宋_GB2312" w:hAnsi="仿宋_GB2312" w:cs="仿宋_GB2312" w:eastAsia="仿宋_GB2312"/>
              </w:rPr>
              <w:t>评委根据供应商所提供的拟投入作业设备、物资及劳保用品配备进行相应评分，包括但不限于：①作业设备、物资及劳保用品配备；②备品备件计划保证措施；以上评审内容，每项6分，满分12分。 （1）内容完整，合理性强、可行性强，每项得6分； （2）内容完整，但未针对各项内容进行详细描述，每项得4分； （3）内容较完整，合理性一般、可行性一般，每项得2分； （4）内容有缺项或未提供相关内容的，根据评审内容此项得0分。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1.供应商具有完善的工作内部管理制度，分工明确、流程完整合理。根据制度完备性、措施合理性进行赋分，完全满足项目要求，得6分； 2.供应商具有较完善的工作内部管理制度，分工较明确、流程较合理。根据制度完备性、措施合理性进行赋分，基本满足项目要求，得4分； 3.供应商具有较一般的工作内部管理制度，分工一般、流程一般。根据制度完备性、措施合理性进行赋分，部分满足项目要求，得2分； 4.不能满足要求，或未提供相关内容不得分。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针对本项目出现突发状况或问题后的补救措施等方面，包括但不限于：①对突发情况响应时间；②服务承诺；③应急方案等；以上评审内容，每项3分，满分9分。 （1）内容完整，合理性强、可行性强，每项得3分； （2）内容完整，但未针对各项内容进行详细描述，每项得1.5分； （3）内容较完整，合理性一般、可行性一般，每项得1分； （4）内容有缺项或未提供相关内容的，根据评审内容此项得0分。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针对本项目制定质量保证措施： 质量保证措施切实可行、责任明确得9分； 质量保证措施可行性一般、责任较明确得6分； 质量保证措施可行性低、责任不明确得3分。 注：未进行描述的本项不得分。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工作进度保证措施</w:t>
            </w:r>
          </w:p>
        </w:tc>
        <w:tc>
          <w:tcPr>
            <w:tcW w:type="dxa" w:w="2492"/>
          </w:tcPr>
          <w:p>
            <w:pPr>
              <w:pStyle w:val="null3"/>
            </w:pPr>
            <w:r>
              <w:rPr>
                <w:rFonts w:ascii="仿宋_GB2312" w:hAnsi="仿宋_GB2312" w:cs="仿宋_GB2312" w:eastAsia="仿宋_GB2312"/>
              </w:rPr>
              <w:t>针对本项目制定工作进度保证措施： 工作进度计划详细可行、合理，以严谨且可执行的保障措施实现本项目对时间的要求得9分； 工作进度计划较详细可行、合理，保障措施一般得6分； 工作进度计划可行性低、不合理，保障措施无法满足本项目对时间的要求得3分。 注：未进行描述的本项不得分。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合理建议</w:t>
            </w:r>
          </w:p>
        </w:tc>
        <w:tc>
          <w:tcPr>
            <w:tcW w:type="dxa" w:w="2492"/>
          </w:tcPr>
          <w:p>
            <w:pPr>
              <w:pStyle w:val="null3"/>
            </w:pPr>
            <w:r>
              <w:rPr>
                <w:rFonts w:ascii="仿宋_GB2312" w:hAnsi="仿宋_GB2312" w:cs="仿宋_GB2312" w:eastAsia="仿宋_GB2312"/>
              </w:rPr>
              <w:t>针对本项目提出合理化建议满足项目需要，方案科学计6分，合理化建议安排较能满足项目需要、较合理，方案较科学计4分，合理化建议安排不够详细，科学性、合理性、可行性差的计2分。 注：未进行描述的本项不得分。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提供供应商自2023年 1 月 1 日至今承担过的类似项目业绩，每提供 1 个项目合同得 2分，最多得 6分。 注：提供合同复印件（包括合同首页、合同内容描述页、合同盖章页）并加盖供应商公章；合同案例中合同的乙方必须与供应商的名称完全一致，如单位名称发生变更，必须提供证明文件，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采用低价优先法计算，即满足磋商文件要求且价格最低的磋商报价为磋商基准价，其价格分为满分。 磋商报价得分＝（磋商基准价/最终磋商报价）×价格权值×100 注：磋商小组认为供应商的报价明显低于其他通过符合性审查供应商的报价，有可能影响服务质量或者不能诚信履约的，应当要求其在磋商现场合理的时间内提供书面说明，必要时提交相关证明材料；供应商不能证明其报价合理性的，磋商小组应当将其作为废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