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42E457">
      <w:pPr>
        <w:spacing w:line="360" w:lineRule="auto"/>
        <w:jc w:val="center"/>
        <w:rPr>
          <w:rFonts w:ascii="宋体" w:hAnsi="宋体" w:cs="宋体"/>
          <w:sz w:val="32"/>
          <w:szCs w:val="28"/>
        </w:rPr>
      </w:pPr>
    </w:p>
    <w:p w14:paraId="04C4AAE1">
      <w:pPr>
        <w:spacing w:line="360" w:lineRule="auto"/>
        <w:jc w:val="center"/>
        <w:rPr>
          <w:rFonts w:ascii="宋体" w:hAnsi="宋体" w:cs="宋体"/>
          <w:sz w:val="32"/>
          <w:szCs w:val="28"/>
        </w:rPr>
      </w:pPr>
    </w:p>
    <w:p w14:paraId="01AB6A34">
      <w:pPr>
        <w:spacing w:line="360" w:lineRule="auto"/>
        <w:jc w:val="center"/>
        <w:rPr>
          <w:rFonts w:ascii="宋体" w:hAnsi="宋体" w:cs="宋体"/>
          <w:sz w:val="32"/>
          <w:szCs w:val="28"/>
        </w:rPr>
      </w:pPr>
    </w:p>
    <w:p w14:paraId="31F60B7D">
      <w:pPr>
        <w:spacing w:line="360" w:lineRule="auto"/>
        <w:jc w:val="center"/>
        <w:rPr>
          <w:rFonts w:ascii="宋体" w:hAnsi="宋体" w:cs="宋体"/>
          <w:sz w:val="32"/>
          <w:szCs w:val="28"/>
        </w:rPr>
      </w:pPr>
    </w:p>
    <w:p w14:paraId="7055F580">
      <w:pPr>
        <w:spacing w:line="360" w:lineRule="auto"/>
        <w:jc w:val="center"/>
        <w:rPr>
          <w:rFonts w:hint="eastAsia" w:ascii="宋体" w:hAnsi="宋体" w:cs="宋体"/>
          <w:b/>
          <w:bCs/>
          <w:sz w:val="40"/>
          <w:szCs w:val="28"/>
        </w:rPr>
      </w:pPr>
      <w:r>
        <w:rPr>
          <w:rFonts w:hint="eastAsia" w:ascii="宋体" w:hAnsi="宋体" w:cs="宋体"/>
          <w:b/>
          <w:bCs/>
          <w:sz w:val="40"/>
          <w:szCs w:val="28"/>
        </w:rPr>
        <w:t>城区行道树、绿篱整形修剪项目</w:t>
      </w:r>
    </w:p>
    <w:p w14:paraId="6A2CDED4">
      <w:pPr>
        <w:spacing w:line="360" w:lineRule="auto"/>
        <w:jc w:val="center"/>
        <w:rPr>
          <w:rFonts w:ascii="宋体" w:hAnsi="宋体" w:cs="宋体"/>
        </w:rPr>
      </w:pPr>
    </w:p>
    <w:p w14:paraId="0505830F">
      <w:pPr>
        <w:spacing w:line="360" w:lineRule="auto"/>
        <w:jc w:val="center"/>
        <w:rPr>
          <w:rFonts w:ascii="宋体" w:hAnsi="宋体" w:cs="宋体"/>
        </w:rPr>
      </w:pPr>
    </w:p>
    <w:p w14:paraId="4164521F">
      <w:pPr>
        <w:spacing w:line="360" w:lineRule="auto"/>
        <w:jc w:val="center"/>
        <w:rPr>
          <w:rFonts w:ascii="宋体" w:hAnsi="宋体" w:cs="宋体"/>
        </w:rPr>
      </w:pPr>
    </w:p>
    <w:p w14:paraId="794E536B">
      <w:pPr>
        <w:spacing w:line="360" w:lineRule="auto"/>
        <w:jc w:val="center"/>
        <w:rPr>
          <w:rFonts w:ascii="宋体" w:hAnsi="宋体" w:cs="宋体"/>
        </w:rPr>
      </w:pPr>
    </w:p>
    <w:p w14:paraId="4A1BD09C">
      <w:pPr>
        <w:spacing w:line="360" w:lineRule="auto"/>
        <w:jc w:val="center"/>
        <w:rPr>
          <w:rFonts w:ascii="宋体" w:hAnsi="宋体" w:cs="宋体"/>
        </w:rPr>
      </w:pPr>
    </w:p>
    <w:p w14:paraId="53B56DCC">
      <w:pPr>
        <w:spacing w:line="360" w:lineRule="auto"/>
        <w:jc w:val="center"/>
        <w:rPr>
          <w:rFonts w:ascii="宋体" w:hAnsi="宋体" w:cs="宋体"/>
        </w:rPr>
      </w:pPr>
    </w:p>
    <w:p w14:paraId="10E5DFDA">
      <w:pPr>
        <w:spacing w:line="360" w:lineRule="auto"/>
        <w:ind w:left="3" w:hanging="3"/>
        <w:jc w:val="left"/>
        <w:rPr>
          <w:rFonts w:ascii="宋体" w:hAnsi="宋体" w:cs="宋体"/>
          <w:sz w:val="24"/>
        </w:rPr>
      </w:pPr>
      <w:r>
        <w:rPr>
          <w:rFonts w:hint="eastAsia" w:ascii="宋体" w:hAnsi="宋体" w:cs="宋体"/>
          <w:sz w:val="24"/>
        </w:rPr>
        <w:t>项目名称：</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hAnsi="宋体" w:cs="宋体"/>
          <w:sz w:val="24"/>
          <w:u w:val="single"/>
          <w:lang w:eastAsia="zh-CN"/>
        </w:rPr>
        <w:t>城区行道树、绿篱整形修剪项目</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p>
    <w:p w14:paraId="25DB87C8">
      <w:pPr>
        <w:spacing w:line="360" w:lineRule="auto"/>
        <w:ind w:left="3" w:hanging="3"/>
        <w:jc w:val="left"/>
        <w:rPr>
          <w:rFonts w:ascii="宋体" w:hAnsi="宋体" w:cs="宋体"/>
          <w:sz w:val="24"/>
        </w:rPr>
      </w:pPr>
      <w:r>
        <w:rPr>
          <w:rFonts w:hint="eastAsia" w:ascii="宋体" w:hAnsi="宋体" w:cs="宋体"/>
          <w:sz w:val="24"/>
        </w:rPr>
        <w:t>项目地点：</w:t>
      </w:r>
      <w:r>
        <w:rPr>
          <w:rFonts w:hint="eastAsia" w:ascii="宋体" w:hAnsi="宋体" w:cs="宋体"/>
          <w:sz w:val="24"/>
          <w:u w:val="single"/>
        </w:rPr>
        <w:t xml:space="preserve">                                                                  </w:t>
      </w:r>
      <w:r>
        <w:rPr>
          <w:rFonts w:hint="eastAsia" w:ascii="宋体" w:hAnsi="宋体" w:cs="宋体"/>
          <w:sz w:val="24"/>
        </w:rPr>
        <w:t xml:space="preserve">                                                                  </w:t>
      </w:r>
    </w:p>
    <w:p w14:paraId="5E07BAB3">
      <w:pPr>
        <w:spacing w:line="360" w:lineRule="auto"/>
        <w:ind w:left="3" w:hanging="3"/>
        <w:jc w:val="left"/>
        <w:rPr>
          <w:rFonts w:ascii="宋体" w:hAnsi="宋体" w:cs="宋体"/>
          <w:sz w:val="24"/>
          <w:u w:val="single"/>
        </w:rPr>
      </w:pPr>
      <w:r>
        <w:rPr>
          <w:rFonts w:hint="eastAsia" w:ascii="宋体" w:hAnsi="宋体" w:cs="宋体"/>
          <w:sz w:val="24"/>
        </w:rPr>
        <w:t>合同编号：</w:t>
      </w:r>
      <w:r>
        <w:rPr>
          <w:rFonts w:hint="eastAsia" w:ascii="宋体" w:hAnsi="宋体" w:cs="宋体"/>
          <w:sz w:val="24"/>
          <w:u w:val="single"/>
        </w:rPr>
        <w:t xml:space="preserve">                                                                  </w:t>
      </w:r>
    </w:p>
    <w:p w14:paraId="24F27B9B">
      <w:pPr>
        <w:spacing w:line="360" w:lineRule="auto"/>
        <w:ind w:left="3" w:hanging="3"/>
        <w:jc w:val="left"/>
        <w:rPr>
          <w:rFonts w:ascii="宋体" w:hAnsi="宋体" w:cs="宋体"/>
          <w:sz w:val="24"/>
        </w:rPr>
      </w:pPr>
      <w:r>
        <w:rPr>
          <w:rFonts w:hint="eastAsia" w:ascii="宋体" w:hAnsi="宋体" w:cs="宋体"/>
          <w:sz w:val="24"/>
        </w:rPr>
        <w:t>委 托 人：</w:t>
      </w:r>
      <w:r>
        <w:rPr>
          <w:rFonts w:hint="eastAsia" w:ascii="宋体" w:hAnsi="宋体" w:cs="宋体"/>
          <w:sz w:val="24"/>
          <w:u w:val="single"/>
        </w:rPr>
        <w:t xml:space="preserve">                                                                  </w:t>
      </w:r>
      <w:r>
        <w:rPr>
          <w:rFonts w:hint="eastAsia" w:ascii="宋体" w:hAnsi="宋体" w:cs="宋体"/>
          <w:sz w:val="24"/>
        </w:rPr>
        <w:t xml:space="preserve">       </w:t>
      </w:r>
    </w:p>
    <w:p w14:paraId="0651E391">
      <w:pPr>
        <w:spacing w:line="360" w:lineRule="auto"/>
        <w:ind w:left="3" w:hanging="3"/>
        <w:jc w:val="left"/>
        <w:rPr>
          <w:rFonts w:ascii="宋体" w:hAnsi="宋体" w:cs="宋体"/>
          <w:sz w:val="24"/>
        </w:rPr>
      </w:pPr>
      <w:r>
        <w:rPr>
          <w:rFonts w:hint="eastAsia" w:ascii="宋体" w:hAnsi="宋体" w:cs="宋体"/>
          <w:sz w:val="24"/>
        </w:rPr>
        <w:t>受 托 人：</w:t>
      </w:r>
      <w:r>
        <w:rPr>
          <w:rFonts w:hint="eastAsia" w:ascii="宋体" w:hAnsi="宋体" w:cs="宋体"/>
          <w:sz w:val="24"/>
          <w:u w:val="single"/>
        </w:rPr>
        <w:t xml:space="preserve">                                                                  </w:t>
      </w:r>
      <w:r>
        <w:rPr>
          <w:rFonts w:hint="eastAsia" w:ascii="宋体" w:hAnsi="宋体" w:cs="宋体"/>
          <w:sz w:val="24"/>
        </w:rPr>
        <w:t xml:space="preserve">   </w:t>
      </w:r>
    </w:p>
    <w:p w14:paraId="0D78C609">
      <w:pPr>
        <w:spacing w:line="360" w:lineRule="auto"/>
        <w:ind w:left="3" w:hanging="3"/>
        <w:jc w:val="left"/>
        <w:rPr>
          <w:rFonts w:ascii="宋体" w:hAnsi="宋体" w:cs="宋体"/>
        </w:rPr>
      </w:pPr>
      <w:r>
        <w:rPr>
          <w:rFonts w:hint="eastAsia" w:ascii="宋体" w:hAnsi="宋体" w:cs="宋体"/>
          <w:sz w:val="24"/>
        </w:rPr>
        <w:t>签订日期：</w:t>
      </w:r>
      <w:r>
        <w:rPr>
          <w:rFonts w:hint="eastAsia" w:ascii="宋体" w:hAnsi="宋体" w:cs="宋体"/>
          <w:sz w:val="24"/>
          <w:u w:val="single"/>
        </w:rPr>
        <w:t xml:space="preserve">                                                         </w:t>
      </w:r>
      <w:r>
        <w:rPr>
          <w:rFonts w:hint="eastAsia" w:ascii="宋体" w:hAnsi="宋体" w:cs="宋体"/>
          <w:sz w:val="28"/>
          <w:u w:val="single"/>
        </w:rPr>
        <w:t xml:space="preserve">         </w:t>
      </w:r>
      <w:r>
        <w:rPr>
          <w:rFonts w:hint="eastAsia" w:ascii="宋体" w:hAnsi="宋体" w:cs="宋体"/>
          <w:sz w:val="28"/>
        </w:rPr>
        <w:t xml:space="preserve"> </w:t>
      </w:r>
      <w:r>
        <w:rPr>
          <w:rFonts w:hint="eastAsia" w:ascii="宋体" w:hAnsi="宋体" w:cs="宋体"/>
        </w:rPr>
        <w:t xml:space="preserve">  </w:t>
      </w:r>
    </w:p>
    <w:p w14:paraId="78BC701A">
      <w:pPr>
        <w:spacing w:line="360" w:lineRule="auto"/>
        <w:ind w:left="3" w:hanging="3"/>
        <w:jc w:val="left"/>
        <w:rPr>
          <w:rFonts w:ascii="宋体" w:hAnsi="宋体" w:cs="宋体"/>
          <w:u w:val="single"/>
        </w:rPr>
      </w:pPr>
    </w:p>
    <w:p w14:paraId="731579F5">
      <w:pPr>
        <w:tabs>
          <w:tab w:val="left" w:pos="5040"/>
        </w:tabs>
        <w:spacing w:line="480" w:lineRule="atLeast"/>
        <w:jc w:val="center"/>
        <w:rPr>
          <w:rFonts w:ascii="宋体" w:hAnsi="宋体" w:cs="宋体"/>
        </w:rPr>
      </w:pPr>
    </w:p>
    <w:p w14:paraId="0DA82E13">
      <w:pPr>
        <w:spacing w:line="360" w:lineRule="auto"/>
        <w:rPr>
          <w:rFonts w:ascii="宋体" w:hAnsi="宋体" w:cs="宋体"/>
          <w:sz w:val="72"/>
          <w:szCs w:val="22"/>
        </w:rPr>
      </w:pPr>
      <w:r>
        <w:rPr>
          <w:rFonts w:hint="eastAsia" w:ascii="宋体" w:hAnsi="宋体" w:cs="宋体"/>
          <w:b/>
          <w:sz w:val="24"/>
          <w:szCs w:val="24"/>
        </w:rPr>
        <w:t>备注：本服务合同仅为合同的参考文本，合同签订双方可根据项目的具体要求进行修订。</w:t>
      </w:r>
    </w:p>
    <w:p w14:paraId="34BCA1D0">
      <w:pPr>
        <w:keepNext w:val="0"/>
        <w:keepLines w:val="0"/>
        <w:pageBreakBefore w:val="0"/>
        <w:tabs>
          <w:tab w:val="left" w:pos="5040"/>
        </w:tabs>
        <w:kinsoku/>
        <w:wordWrap/>
        <w:overflowPunct/>
        <w:topLinePunct w:val="0"/>
        <w:autoSpaceDE/>
        <w:autoSpaceDN/>
        <w:bidi w:val="0"/>
        <w:adjustRightInd/>
        <w:snapToGrid/>
        <w:spacing w:line="560" w:lineRule="exact"/>
        <w:jc w:val="center"/>
        <w:textAlignment w:val="auto"/>
        <w:rPr>
          <w:rFonts w:ascii="宋体" w:hAnsi="宋体"/>
          <w:color w:val="auto"/>
          <w:kern w:val="0"/>
          <w:sz w:val="24"/>
        </w:rPr>
      </w:pPr>
      <w:r>
        <w:rPr>
          <w:rFonts w:hint="eastAsia" w:ascii="宋体" w:hAnsi="宋体" w:cs="宋体"/>
        </w:rPr>
        <w:br w:type="page"/>
      </w:r>
      <w:bookmarkStart w:id="0" w:name="_Toc351203480"/>
      <w:r>
        <w:rPr>
          <w:rFonts w:hint="eastAsia" w:ascii="宋体" w:hAnsi="宋体"/>
          <w:b/>
          <w:bCs/>
          <w:color w:val="auto"/>
          <w:kern w:val="0"/>
          <w:sz w:val="28"/>
          <w:szCs w:val="28"/>
        </w:rPr>
        <w:t>合同协议书</w:t>
      </w:r>
      <w:bookmarkEnd w:id="0"/>
    </w:p>
    <w:p w14:paraId="3E311CD9">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委托方受托方双方经过平等协商，在真实、充分地表达各自意愿的基础上，根据《中华人民共和</w:t>
      </w:r>
      <w:r>
        <w:rPr>
          <w:rFonts w:hint="eastAsia" w:ascii="宋体" w:hAnsi="宋体"/>
          <w:color w:val="auto"/>
          <w:kern w:val="0"/>
          <w:sz w:val="24"/>
          <w:lang w:eastAsia="zh-CN"/>
        </w:rPr>
        <w:t>民法典</w:t>
      </w:r>
      <w:r>
        <w:rPr>
          <w:rFonts w:hint="eastAsia" w:ascii="宋体" w:hAnsi="宋体"/>
          <w:color w:val="auto"/>
          <w:kern w:val="0"/>
          <w:sz w:val="24"/>
        </w:rPr>
        <w:t>》等相关法律法规和工程咨询行业有关规定，达成如下协议，并由双方共同恪守。</w:t>
      </w:r>
    </w:p>
    <w:p w14:paraId="6E625C0D">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根据委托方的委托要求，受托方应根据国家、地区及行业的有关政策、法规及规范要求，按时向委托方提交咨询成果。</w:t>
      </w:r>
    </w:p>
    <w:p w14:paraId="6EF81372">
      <w:pPr>
        <w:keepNext w:val="0"/>
        <w:keepLines w:val="0"/>
        <w:pageBreakBefore w:val="0"/>
        <w:widowControl/>
        <w:kinsoku/>
        <w:wordWrap/>
        <w:overflowPunct/>
        <w:topLinePunct w:val="0"/>
        <w:autoSpaceDE/>
        <w:autoSpaceDN/>
        <w:bidi w:val="0"/>
        <w:adjustRightInd/>
        <w:snapToGrid/>
        <w:spacing w:line="560" w:lineRule="exact"/>
        <w:ind w:firstLine="482"/>
        <w:textAlignment w:val="auto"/>
        <w:rPr>
          <w:rFonts w:ascii="宋体" w:hAnsi="宋体"/>
          <w:color w:val="auto"/>
          <w:kern w:val="0"/>
          <w:sz w:val="24"/>
        </w:rPr>
      </w:pPr>
      <w:r>
        <w:rPr>
          <w:rFonts w:hint="eastAsia" w:ascii="宋体" w:hAnsi="宋体"/>
          <w:color w:val="auto"/>
          <w:kern w:val="0"/>
          <w:sz w:val="24"/>
        </w:rPr>
        <w:t>第一条 委托项目名称及合同类型</w:t>
      </w:r>
    </w:p>
    <w:p w14:paraId="2672C350">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hint="eastAsia" w:ascii="宋体" w:hAnsi="宋体"/>
          <w:color w:val="auto"/>
          <w:kern w:val="0"/>
          <w:sz w:val="24"/>
          <w:u w:val="single"/>
          <w:lang w:eastAsia="zh-CN"/>
        </w:rPr>
      </w:pPr>
      <w:r>
        <w:rPr>
          <w:rFonts w:hint="eastAsia" w:ascii="宋体" w:hAnsi="宋体"/>
          <w:color w:val="auto"/>
          <w:kern w:val="0"/>
          <w:sz w:val="24"/>
        </w:rPr>
        <w:t>（一）委托项目名称：</w:t>
      </w:r>
      <w:r>
        <w:rPr>
          <w:rFonts w:hint="eastAsia" w:hAnsi="宋体"/>
          <w:color w:val="auto"/>
          <w:kern w:val="0"/>
          <w:sz w:val="24"/>
          <w:u w:val="single"/>
          <w:lang w:eastAsia="zh-CN"/>
        </w:rPr>
        <w:t>城区行道树、绿篱整形修剪项目</w:t>
      </w:r>
    </w:p>
    <w:p w14:paraId="354ADC8E">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ascii="宋体" w:hAnsi="宋体"/>
          <w:color w:val="auto"/>
          <w:kern w:val="0"/>
          <w:sz w:val="24"/>
          <w:u w:val="single"/>
        </w:rPr>
      </w:pPr>
      <w:r>
        <w:rPr>
          <w:rFonts w:hint="eastAsia" w:ascii="宋体" w:hAnsi="宋体"/>
          <w:color w:val="auto"/>
          <w:kern w:val="0"/>
          <w:sz w:val="24"/>
        </w:rPr>
        <w:t>（二）合同类型：</w:t>
      </w:r>
      <w:r>
        <w:rPr>
          <w:rFonts w:hint="eastAsia" w:ascii="宋体" w:hAnsi="宋体"/>
          <w:color w:val="auto"/>
          <w:kern w:val="0"/>
          <w:sz w:val="24"/>
          <w:u w:val="single"/>
        </w:rPr>
        <w:t xml:space="preserve">     </w:t>
      </w:r>
      <w:r>
        <w:rPr>
          <w:rFonts w:hint="eastAsia" w:ascii="宋体" w:hAnsi="宋体"/>
          <w:color w:val="auto"/>
          <w:kern w:val="0"/>
          <w:sz w:val="24"/>
          <w:u w:val="single"/>
          <w:lang w:val="en-US" w:eastAsia="zh-CN"/>
        </w:rPr>
        <w:t xml:space="preserve">     </w:t>
      </w:r>
      <w:r>
        <w:rPr>
          <w:rFonts w:hint="eastAsia" w:ascii="宋体" w:hAnsi="宋体"/>
          <w:color w:val="auto"/>
          <w:kern w:val="0"/>
          <w:sz w:val="24"/>
          <w:u w:val="single"/>
        </w:rPr>
        <w:t> </w:t>
      </w:r>
      <w:r>
        <w:rPr>
          <w:rFonts w:hint="eastAsia" w:ascii="宋体" w:hAnsi="宋体"/>
          <w:color w:val="auto"/>
          <w:kern w:val="0"/>
          <w:sz w:val="24"/>
        </w:rPr>
        <w:t>；</w:t>
      </w:r>
    </w:p>
    <w:p w14:paraId="66B95D92">
      <w:pPr>
        <w:keepNext w:val="0"/>
        <w:keepLines w:val="0"/>
        <w:pageBreakBefore w:val="0"/>
        <w:widowControl/>
        <w:kinsoku/>
        <w:wordWrap/>
        <w:overflowPunct/>
        <w:topLinePunct w:val="0"/>
        <w:autoSpaceDE/>
        <w:autoSpaceDN/>
        <w:bidi w:val="0"/>
        <w:adjustRightInd/>
        <w:snapToGrid/>
        <w:spacing w:line="560" w:lineRule="exact"/>
        <w:ind w:firstLine="482"/>
        <w:textAlignment w:val="auto"/>
        <w:rPr>
          <w:rFonts w:ascii="宋体" w:hAnsi="宋体"/>
          <w:color w:val="auto"/>
          <w:kern w:val="0"/>
          <w:sz w:val="24"/>
        </w:rPr>
      </w:pPr>
      <w:r>
        <w:rPr>
          <w:rFonts w:hint="eastAsia" w:ascii="宋体" w:hAnsi="宋体"/>
          <w:color w:val="auto"/>
          <w:kern w:val="0"/>
          <w:sz w:val="24"/>
        </w:rPr>
        <w:t>第二条 项目概况</w:t>
      </w:r>
    </w:p>
    <w:p w14:paraId="751411AE">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u w:val="single"/>
        </w:rPr>
      </w:pPr>
      <w:r>
        <w:rPr>
          <w:rFonts w:hint="eastAsia" w:ascii="宋体" w:hAnsi="宋体"/>
          <w:color w:val="auto"/>
          <w:kern w:val="0"/>
          <w:sz w:val="24"/>
        </w:rPr>
        <w:t>（一）</w:t>
      </w:r>
      <w:r>
        <w:rPr>
          <w:rFonts w:hint="eastAsia" w:ascii="宋体" w:hAnsi="宋体"/>
          <w:color w:val="auto"/>
          <w:kern w:val="0"/>
          <w:sz w:val="24"/>
          <w:lang w:eastAsia="zh-CN"/>
        </w:rPr>
        <w:t>项目</w:t>
      </w:r>
      <w:r>
        <w:rPr>
          <w:rFonts w:hint="eastAsia" w:ascii="宋体" w:hAnsi="宋体"/>
          <w:color w:val="auto"/>
          <w:kern w:val="0"/>
          <w:sz w:val="24"/>
        </w:rPr>
        <w:t>地点：</w:t>
      </w:r>
      <w:r>
        <w:rPr>
          <w:rFonts w:hint="eastAsia" w:ascii="宋体" w:hAnsi="宋体"/>
          <w:color w:val="auto"/>
          <w:kern w:val="0"/>
          <w:sz w:val="24"/>
          <w:u w:val="single"/>
        </w:rPr>
        <w:t xml:space="preserve">    </w:t>
      </w:r>
      <w:r>
        <w:rPr>
          <w:rFonts w:hint="eastAsia" w:ascii="宋体" w:hAnsi="宋体"/>
          <w:color w:val="auto"/>
          <w:kern w:val="0"/>
          <w:sz w:val="24"/>
          <w:u w:val="single"/>
          <w:lang w:val="en-US" w:eastAsia="zh-CN"/>
        </w:rPr>
        <w:t xml:space="preserve">    </w:t>
      </w:r>
      <w:r>
        <w:rPr>
          <w:rFonts w:hint="eastAsia" w:ascii="宋体" w:hAnsi="宋体"/>
          <w:color w:val="auto"/>
          <w:kern w:val="0"/>
          <w:sz w:val="24"/>
          <w:u w:val="single"/>
        </w:rPr>
        <w:t xml:space="preserve">  </w:t>
      </w:r>
      <w:r>
        <w:rPr>
          <w:rFonts w:hint="eastAsia" w:ascii="宋体" w:hAnsi="宋体"/>
          <w:color w:val="auto"/>
          <w:kern w:val="0"/>
          <w:sz w:val="24"/>
        </w:rPr>
        <w:t>；</w:t>
      </w:r>
    </w:p>
    <w:p w14:paraId="64661D53">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（二）</w:t>
      </w:r>
      <w:r>
        <w:rPr>
          <w:rFonts w:hint="eastAsia" w:ascii="宋体" w:hAnsi="宋体"/>
          <w:color w:val="auto"/>
          <w:kern w:val="0"/>
          <w:sz w:val="24"/>
          <w:lang w:eastAsia="zh-CN"/>
        </w:rPr>
        <w:t>采购内容</w:t>
      </w:r>
      <w:r>
        <w:rPr>
          <w:rFonts w:hint="eastAsia" w:ascii="宋体" w:hAnsi="宋体"/>
          <w:color w:val="auto"/>
          <w:kern w:val="0"/>
          <w:sz w:val="24"/>
        </w:rPr>
        <w:t>：</w:t>
      </w:r>
      <w:r>
        <w:rPr>
          <w:rFonts w:hint="eastAsia" w:ascii="宋体" w:hAnsi="宋体"/>
          <w:color w:val="auto"/>
          <w:kern w:val="0"/>
          <w:sz w:val="24"/>
          <w:u w:val="single"/>
        </w:rPr>
        <w:t>      </w:t>
      </w:r>
      <w:r>
        <w:rPr>
          <w:rFonts w:hint="eastAsia" w:ascii="宋体" w:hAnsi="宋体"/>
          <w:color w:val="auto"/>
          <w:kern w:val="0"/>
          <w:sz w:val="24"/>
        </w:rPr>
        <w:t>；</w:t>
      </w:r>
    </w:p>
    <w:p w14:paraId="2BCE0C88">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（三）</w:t>
      </w:r>
      <w:r>
        <w:rPr>
          <w:rFonts w:hint="eastAsia" w:ascii="宋体" w:hAnsi="宋体"/>
          <w:color w:val="auto"/>
          <w:kern w:val="0"/>
          <w:sz w:val="24"/>
          <w:lang w:eastAsia="zh-CN"/>
        </w:rPr>
        <w:t>招标</w:t>
      </w:r>
      <w:r>
        <w:rPr>
          <w:rFonts w:hint="eastAsia" w:ascii="宋体" w:hAnsi="宋体"/>
          <w:color w:val="auto"/>
          <w:kern w:val="0"/>
          <w:sz w:val="24"/>
        </w:rPr>
        <w:t>范围：</w:t>
      </w:r>
      <w:r>
        <w:rPr>
          <w:rFonts w:hint="eastAsia" w:ascii="宋体" w:hAnsi="宋体"/>
          <w:color w:val="auto"/>
          <w:kern w:val="0"/>
          <w:sz w:val="24"/>
          <w:u w:val="single"/>
        </w:rPr>
        <w:t>                </w:t>
      </w:r>
      <w:r>
        <w:rPr>
          <w:rFonts w:hint="eastAsia" w:ascii="宋体" w:hAnsi="宋体"/>
          <w:color w:val="auto"/>
          <w:kern w:val="0"/>
          <w:sz w:val="24"/>
        </w:rPr>
        <w:t>；</w:t>
      </w:r>
    </w:p>
    <w:p w14:paraId="6B5C20F1">
      <w:pPr>
        <w:keepNext w:val="0"/>
        <w:keepLines w:val="0"/>
        <w:pageBreakBefore w:val="0"/>
        <w:widowControl/>
        <w:kinsoku/>
        <w:wordWrap/>
        <w:overflowPunct/>
        <w:topLinePunct w:val="0"/>
        <w:autoSpaceDE/>
        <w:autoSpaceDN/>
        <w:bidi w:val="0"/>
        <w:adjustRightInd/>
        <w:snapToGrid/>
        <w:spacing w:line="560" w:lineRule="exact"/>
        <w:ind w:firstLine="482"/>
        <w:textAlignment w:val="auto"/>
        <w:rPr>
          <w:rFonts w:ascii="宋体" w:hAnsi="宋体"/>
          <w:color w:val="auto"/>
          <w:kern w:val="0"/>
          <w:sz w:val="24"/>
        </w:rPr>
      </w:pPr>
      <w:r>
        <w:rPr>
          <w:rFonts w:hint="eastAsia" w:ascii="宋体" w:hAnsi="宋体"/>
          <w:color w:val="auto"/>
          <w:kern w:val="0"/>
          <w:sz w:val="24"/>
        </w:rPr>
        <w:t>第三条  委托服务的期限、地点及进度要求</w:t>
      </w:r>
    </w:p>
    <w:p w14:paraId="6602AEB5">
      <w:pPr>
        <w:keepNext w:val="0"/>
        <w:keepLines w:val="0"/>
        <w:pageBreakBefore w:val="0"/>
        <w:widowControl/>
        <w:kinsoku/>
        <w:wordWrap/>
        <w:overflowPunct/>
        <w:topLinePunct w:val="0"/>
        <w:autoSpaceDE/>
        <w:autoSpaceDN/>
        <w:bidi w:val="0"/>
        <w:adjustRightInd/>
        <w:snapToGrid/>
        <w:spacing w:line="560" w:lineRule="exact"/>
        <w:ind w:left="689" w:hanging="120"/>
        <w:jc w:val="left"/>
        <w:textAlignment w:val="auto"/>
        <w:rPr>
          <w:rFonts w:ascii="宋体" w:hAnsi="宋体"/>
          <w:color w:val="auto"/>
          <w:kern w:val="0"/>
          <w:sz w:val="24"/>
        </w:rPr>
      </w:pPr>
      <w:r>
        <w:rPr>
          <w:rFonts w:hint="eastAsia" w:ascii="宋体" w:hAnsi="宋体"/>
          <w:color w:val="auto"/>
          <w:kern w:val="0"/>
          <w:sz w:val="24"/>
        </w:rPr>
        <w:t>（一）</w:t>
      </w:r>
      <w:r>
        <w:rPr>
          <w:rFonts w:hint="eastAsia" w:ascii="宋体" w:hAnsi="宋体"/>
          <w:color w:val="auto"/>
          <w:kern w:val="0"/>
          <w:sz w:val="24"/>
          <w:lang w:eastAsia="zh-CN"/>
        </w:rPr>
        <w:t>合同</w:t>
      </w:r>
      <w:r>
        <w:rPr>
          <w:rFonts w:hint="eastAsia" w:ascii="宋体" w:hAnsi="宋体"/>
          <w:color w:val="auto"/>
          <w:kern w:val="0"/>
          <w:sz w:val="24"/>
        </w:rPr>
        <w:t>期限：</w:t>
      </w:r>
    </w:p>
    <w:p w14:paraId="48FA3E5C">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default" w:ascii="宋体" w:hAnsi="宋体" w:eastAsia="宋体"/>
          <w:color w:val="auto"/>
          <w:kern w:val="0"/>
          <w:sz w:val="24"/>
          <w:lang w:val="en-US" w:eastAsia="zh-CN"/>
        </w:rPr>
      </w:pPr>
      <w:r>
        <w:rPr>
          <w:rFonts w:hint="eastAsia" w:ascii="宋体" w:hAnsi="宋体"/>
          <w:color w:val="auto"/>
          <w:kern w:val="0"/>
          <w:sz w:val="24"/>
        </w:rPr>
        <w:t>自</w:t>
      </w:r>
      <w:r>
        <w:rPr>
          <w:rFonts w:hint="eastAsia" w:ascii="宋体" w:hAnsi="宋体"/>
          <w:color w:val="auto"/>
          <w:kern w:val="0"/>
          <w:sz w:val="24"/>
          <w:u w:val="single"/>
        </w:rPr>
        <w:t xml:space="preserve">     </w:t>
      </w:r>
      <w:r>
        <w:rPr>
          <w:rFonts w:hint="eastAsia" w:ascii="宋体" w:hAnsi="宋体"/>
          <w:color w:val="auto"/>
          <w:kern w:val="0"/>
          <w:sz w:val="24"/>
        </w:rPr>
        <w:t>年</w:t>
      </w:r>
      <w:r>
        <w:rPr>
          <w:rFonts w:hint="eastAsia" w:ascii="宋体" w:hAnsi="宋体"/>
          <w:color w:val="auto"/>
          <w:kern w:val="0"/>
          <w:sz w:val="24"/>
          <w:u w:val="single"/>
        </w:rPr>
        <w:t xml:space="preserve">  </w:t>
      </w:r>
      <w:r>
        <w:rPr>
          <w:rFonts w:hint="eastAsia" w:ascii="宋体" w:hAnsi="宋体"/>
          <w:color w:val="auto"/>
          <w:kern w:val="0"/>
          <w:sz w:val="24"/>
        </w:rPr>
        <w:t>月</w:t>
      </w:r>
      <w:r>
        <w:rPr>
          <w:rFonts w:hint="eastAsia" w:ascii="宋体" w:hAnsi="宋体"/>
          <w:color w:val="auto"/>
          <w:kern w:val="0"/>
          <w:sz w:val="24"/>
          <w:u w:val="single"/>
        </w:rPr>
        <w:t>   </w:t>
      </w:r>
      <w:r>
        <w:rPr>
          <w:rFonts w:hint="eastAsia" w:ascii="宋体" w:hAnsi="宋体"/>
          <w:color w:val="auto"/>
          <w:kern w:val="0"/>
          <w:sz w:val="24"/>
        </w:rPr>
        <w:t>日始至</w:t>
      </w:r>
      <w:r>
        <w:rPr>
          <w:rFonts w:hint="eastAsia" w:ascii="宋体" w:hAnsi="宋体"/>
          <w:color w:val="auto"/>
          <w:kern w:val="0"/>
          <w:sz w:val="24"/>
          <w:u w:val="single"/>
        </w:rPr>
        <w:t>     </w:t>
      </w:r>
      <w:r>
        <w:rPr>
          <w:rFonts w:hint="eastAsia" w:ascii="宋体" w:hAnsi="宋体"/>
          <w:color w:val="auto"/>
          <w:kern w:val="0"/>
          <w:sz w:val="24"/>
        </w:rPr>
        <w:t>止；</w:t>
      </w:r>
    </w:p>
    <w:p w14:paraId="26B7B2E8">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（二）</w:t>
      </w:r>
      <w:r>
        <w:rPr>
          <w:rFonts w:hint="eastAsia" w:ascii="宋体" w:hAnsi="宋体"/>
          <w:color w:val="auto"/>
          <w:kern w:val="0"/>
          <w:sz w:val="24"/>
          <w:lang w:eastAsia="zh-CN"/>
        </w:rPr>
        <w:t>项目</w:t>
      </w:r>
      <w:r>
        <w:rPr>
          <w:rFonts w:hint="eastAsia" w:ascii="宋体" w:hAnsi="宋体"/>
          <w:color w:val="auto"/>
          <w:kern w:val="0"/>
          <w:sz w:val="24"/>
        </w:rPr>
        <w:t>地点：</w:t>
      </w:r>
      <w:r>
        <w:rPr>
          <w:rFonts w:hint="eastAsia" w:ascii="宋体" w:hAnsi="宋体"/>
          <w:color w:val="auto"/>
          <w:kern w:val="0"/>
          <w:sz w:val="24"/>
          <w:u w:val="single"/>
        </w:rPr>
        <w:t>                     </w:t>
      </w:r>
      <w:r>
        <w:rPr>
          <w:rFonts w:hint="eastAsia" w:ascii="宋体" w:hAnsi="宋体"/>
          <w:color w:val="auto"/>
          <w:kern w:val="0"/>
          <w:sz w:val="24"/>
        </w:rPr>
        <w:t>；</w:t>
      </w:r>
    </w:p>
    <w:p w14:paraId="135C4955">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（三）进度要求：</w:t>
      </w:r>
      <w:r>
        <w:rPr>
          <w:rFonts w:hint="eastAsia" w:ascii="宋体" w:hAnsi="宋体"/>
          <w:color w:val="auto"/>
          <w:kern w:val="0"/>
          <w:sz w:val="24"/>
          <w:u w:val="single"/>
        </w:rPr>
        <w:t>                     </w:t>
      </w:r>
      <w:r>
        <w:rPr>
          <w:rFonts w:hint="eastAsia" w:ascii="宋体" w:hAnsi="宋体"/>
          <w:color w:val="auto"/>
          <w:kern w:val="0"/>
          <w:sz w:val="24"/>
        </w:rPr>
        <w:t>。</w:t>
      </w:r>
    </w:p>
    <w:p w14:paraId="379CE2F5">
      <w:pPr>
        <w:keepNext w:val="0"/>
        <w:keepLines w:val="0"/>
        <w:pageBreakBefore w:val="0"/>
        <w:widowControl/>
        <w:kinsoku/>
        <w:wordWrap/>
        <w:overflowPunct/>
        <w:topLinePunct w:val="0"/>
        <w:autoSpaceDE/>
        <w:autoSpaceDN/>
        <w:bidi w:val="0"/>
        <w:adjustRightInd/>
        <w:snapToGrid/>
        <w:spacing w:line="560" w:lineRule="exact"/>
        <w:ind w:firstLine="482"/>
        <w:textAlignment w:val="auto"/>
        <w:rPr>
          <w:rFonts w:ascii="宋体" w:hAnsi="宋体"/>
          <w:color w:val="auto"/>
          <w:kern w:val="0"/>
          <w:sz w:val="24"/>
        </w:rPr>
      </w:pPr>
      <w:r>
        <w:rPr>
          <w:rFonts w:hint="eastAsia" w:ascii="宋体" w:hAnsi="宋体"/>
          <w:color w:val="auto"/>
          <w:kern w:val="0"/>
          <w:sz w:val="24"/>
        </w:rPr>
        <w:t>第四条 协作事项</w:t>
      </w:r>
    </w:p>
    <w:p w14:paraId="64E73A57">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为保证受托方有效进行技术咨询工作，委托方应当向受托方提供下列协作事项：</w:t>
      </w:r>
    </w:p>
    <w:p w14:paraId="311AD22D">
      <w:pPr>
        <w:keepNext w:val="0"/>
        <w:keepLines w:val="0"/>
        <w:pageBreakBefore w:val="0"/>
        <w:widowControl/>
        <w:numPr>
          <w:ilvl w:val="0"/>
          <w:numId w:val="1"/>
        </w:numPr>
        <w:kinsoku/>
        <w:wordWrap/>
        <w:overflowPunct/>
        <w:topLinePunct w:val="0"/>
        <w:autoSpaceDE/>
        <w:autoSpaceDN/>
        <w:bidi w:val="0"/>
        <w:adjustRightInd/>
        <w:snapToGrid/>
        <w:spacing w:line="560" w:lineRule="exact"/>
        <w:ind w:firstLine="480"/>
        <w:textAlignment w:val="auto"/>
        <w:rPr>
          <w:rFonts w:ascii="宋体" w:hAnsi="宋体"/>
          <w:color w:val="auto"/>
          <w:kern w:val="0"/>
          <w:sz w:val="24"/>
          <w:u w:val="single"/>
        </w:rPr>
      </w:pPr>
      <w:r>
        <w:rPr>
          <w:rFonts w:hint="eastAsia" w:ascii="宋体" w:hAnsi="宋体"/>
          <w:color w:val="auto"/>
          <w:kern w:val="0"/>
          <w:sz w:val="24"/>
        </w:rPr>
        <w:t>提供工作条件：</w:t>
      </w:r>
      <w:r>
        <w:rPr>
          <w:rFonts w:hint="eastAsia" w:ascii="宋体" w:hAnsi="宋体"/>
          <w:color w:val="auto"/>
          <w:kern w:val="0"/>
          <w:sz w:val="24"/>
          <w:u w:val="single"/>
        </w:rPr>
        <w:t>                </w:t>
      </w:r>
      <w:r>
        <w:rPr>
          <w:rFonts w:hint="eastAsia" w:ascii="宋体" w:hAnsi="宋体"/>
          <w:color w:val="auto"/>
          <w:kern w:val="0"/>
          <w:sz w:val="24"/>
        </w:rPr>
        <w:t>；</w:t>
      </w:r>
    </w:p>
    <w:p w14:paraId="3E539C1A">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ascii="宋体" w:hAnsi="宋体"/>
          <w:color w:val="auto"/>
          <w:kern w:val="0"/>
          <w:sz w:val="24"/>
        </w:rPr>
      </w:pPr>
      <w:r>
        <w:rPr>
          <w:rFonts w:hint="eastAsia" w:ascii="宋体" w:hAnsi="宋体"/>
          <w:color w:val="auto"/>
          <w:kern w:val="0"/>
          <w:sz w:val="24"/>
        </w:rPr>
        <w:t>2、委托方提供上述协作事项的时间及方式：</w:t>
      </w:r>
      <w:r>
        <w:rPr>
          <w:rFonts w:hint="eastAsia" w:ascii="宋体" w:hAnsi="宋体"/>
          <w:color w:val="auto"/>
          <w:kern w:val="0"/>
          <w:sz w:val="24"/>
          <w:u w:val="single"/>
        </w:rPr>
        <w:t>        </w:t>
      </w:r>
      <w:r>
        <w:rPr>
          <w:rFonts w:hint="eastAsia" w:ascii="宋体" w:hAnsi="宋体"/>
          <w:color w:val="auto"/>
          <w:kern w:val="0"/>
          <w:sz w:val="24"/>
        </w:rPr>
        <w:t>。</w:t>
      </w:r>
    </w:p>
    <w:p w14:paraId="3FE954D0">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u w:val="single"/>
        </w:rPr>
      </w:pPr>
      <w:r>
        <w:rPr>
          <w:rFonts w:hint="eastAsia" w:ascii="宋体" w:hAnsi="宋体"/>
          <w:color w:val="auto"/>
          <w:kern w:val="0"/>
          <w:sz w:val="24"/>
        </w:rPr>
        <w:t>3、本合同履行完毕后，</w:t>
      </w:r>
      <w:r>
        <w:rPr>
          <w:rFonts w:hint="eastAsia" w:ascii="宋体" w:hAnsi="宋体"/>
          <w:color w:val="auto"/>
          <w:kern w:val="0"/>
          <w:sz w:val="24"/>
          <w:u w:val="single"/>
        </w:rPr>
        <w:t>上述技术资料和条件按以下方式处理：与本合同有关的资料，应保密的内容必须签订保密协议，不得向第三方泄漏。</w:t>
      </w:r>
    </w:p>
    <w:p w14:paraId="77A6FC34">
      <w:pPr>
        <w:keepNext w:val="0"/>
        <w:keepLines w:val="0"/>
        <w:pageBreakBefore w:val="0"/>
        <w:widowControl/>
        <w:kinsoku/>
        <w:wordWrap/>
        <w:overflowPunct/>
        <w:topLinePunct w:val="0"/>
        <w:autoSpaceDE/>
        <w:autoSpaceDN/>
        <w:bidi w:val="0"/>
        <w:adjustRightInd/>
        <w:snapToGrid/>
        <w:spacing w:line="560" w:lineRule="exact"/>
        <w:ind w:firstLine="482"/>
        <w:textAlignment w:val="auto"/>
        <w:rPr>
          <w:rFonts w:ascii="宋体" w:hAnsi="宋体"/>
          <w:color w:val="auto"/>
          <w:kern w:val="0"/>
          <w:sz w:val="24"/>
        </w:rPr>
      </w:pPr>
      <w:r>
        <w:rPr>
          <w:rFonts w:hint="eastAsia" w:ascii="宋体" w:hAnsi="宋体"/>
          <w:color w:val="auto"/>
          <w:kern w:val="0"/>
          <w:sz w:val="24"/>
        </w:rPr>
        <w:t>第</w:t>
      </w:r>
      <w:r>
        <w:rPr>
          <w:rFonts w:hint="eastAsia" w:ascii="宋体" w:hAnsi="宋体"/>
          <w:color w:val="auto"/>
          <w:kern w:val="0"/>
          <w:sz w:val="24"/>
          <w:lang w:eastAsia="zh-CN"/>
        </w:rPr>
        <w:t>五</w:t>
      </w:r>
      <w:r>
        <w:rPr>
          <w:rFonts w:hint="eastAsia" w:ascii="宋体" w:hAnsi="宋体"/>
          <w:color w:val="auto"/>
          <w:kern w:val="0"/>
          <w:sz w:val="24"/>
        </w:rPr>
        <w:t>条 合同金额与付款方式</w:t>
      </w:r>
    </w:p>
    <w:p w14:paraId="4559B47D">
      <w:pPr>
        <w:keepNext w:val="0"/>
        <w:keepLines w:val="0"/>
        <w:pageBreakBefore w:val="0"/>
        <w:widowControl/>
        <w:kinsoku/>
        <w:wordWrap/>
        <w:overflowPunct/>
        <w:topLinePunct w:val="0"/>
        <w:autoSpaceDE/>
        <w:autoSpaceDN/>
        <w:bidi w:val="0"/>
        <w:adjustRightInd/>
        <w:snapToGrid/>
        <w:spacing w:line="560" w:lineRule="exact"/>
        <w:ind w:firstLine="482"/>
        <w:textAlignment w:val="auto"/>
        <w:rPr>
          <w:rFonts w:ascii="宋体" w:hAnsi="宋体" w:cs="宋体"/>
          <w:color w:val="auto"/>
          <w:kern w:val="0"/>
          <w:sz w:val="24"/>
          <w:highlight w:val="none"/>
        </w:rPr>
      </w:pPr>
      <w:r>
        <w:rPr>
          <w:rFonts w:hint="eastAsia" w:ascii="宋体" w:hAnsi="宋体" w:cs="宋体"/>
          <w:color w:val="auto"/>
          <w:kern w:val="0"/>
          <w:sz w:val="24"/>
          <w:highlight w:val="none"/>
        </w:rPr>
        <w:t>（一）合同金额</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rPr>
        <w:t xml:space="preserve"> 。</w:t>
      </w:r>
    </w:p>
    <w:p w14:paraId="37B3DCAF">
      <w:pPr>
        <w:widowControl w:val="0"/>
        <w:tabs>
          <w:tab w:val="left" w:pos="688"/>
        </w:tabs>
        <w:adjustRightInd/>
        <w:snapToGrid/>
        <w:spacing w:after="0" w:line="600" w:lineRule="exact"/>
        <w:ind w:firstLine="480"/>
        <w:rPr>
          <w:rFonts w:hint="eastAsia" w:ascii="宋体" w:hAnsi="宋体" w:eastAsia="宋体" w:cs="Times New Roman"/>
          <w:color w:val="auto"/>
          <w:sz w:val="24"/>
          <w:highlight w:val="none"/>
          <w:u w:val="single"/>
          <w:lang w:val="en-US" w:eastAsia="zh-CN"/>
        </w:rPr>
      </w:pPr>
      <w:r>
        <w:rPr>
          <w:rFonts w:hint="eastAsia" w:ascii="宋体" w:hAnsi="宋体" w:cs="宋体"/>
          <w:color w:val="auto"/>
          <w:kern w:val="0"/>
          <w:sz w:val="24"/>
          <w:highlight w:val="none"/>
        </w:rPr>
        <w:t>（二）</w:t>
      </w:r>
      <w:r>
        <w:rPr>
          <w:rFonts w:hint="eastAsia" w:ascii="宋体" w:hAnsi="宋体" w:cs="宋体"/>
          <w:b/>
          <w:bCs/>
          <w:color w:val="auto"/>
          <w:kern w:val="0"/>
          <w:sz w:val="24"/>
          <w:highlight w:val="none"/>
        </w:rPr>
        <w:t>付款方式：</w:t>
      </w:r>
      <w:r>
        <w:rPr>
          <w:rFonts w:hint="eastAsia" w:ascii="宋体" w:hAnsi="宋体" w:cs="宋体"/>
          <w:b w:val="0"/>
          <w:bCs w:val="0"/>
          <w:color w:val="auto"/>
          <w:kern w:val="0"/>
          <w:sz w:val="24"/>
          <w:highlight w:val="none"/>
          <w:u w:val="single"/>
        </w:rPr>
        <w:t>项目完成且验收达到国家相关行业验收“合格”标准 ，达到付款条件起10日内，支付合同总金额的70.00%</w:t>
      </w:r>
      <w:r>
        <w:rPr>
          <w:rFonts w:hint="eastAsia" w:hAnsi="宋体" w:cs="宋体"/>
          <w:b w:val="0"/>
          <w:bCs w:val="0"/>
          <w:color w:val="auto"/>
          <w:kern w:val="0"/>
          <w:sz w:val="24"/>
          <w:highlight w:val="none"/>
          <w:u w:val="single"/>
          <w:lang w:eastAsia="zh-CN"/>
        </w:rPr>
        <w:t>；</w:t>
      </w:r>
      <w:bookmarkStart w:id="1" w:name="_GoBack"/>
      <w:bookmarkEnd w:id="1"/>
      <w:r>
        <w:rPr>
          <w:rFonts w:hint="eastAsia" w:ascii="宋体" w:hAnsi="宋体" w:cs="宋体"/>
          <w:b w:val="0"/>
          <w:bCs w:val="0"/>
          <w:color w:val="auto"/>
          <w:kern w:val="0"/>
          <w:sz w:val="24"/>
          <w:highlight w:val="none"/>
          <w:u w:val="single"/>
        </w:rPr>
        <w:t>项目完成结算审计后，达到付款条件起10日内，支付合同总金额的30.00%。</w:t>
      </w:r>
    </w:p>
    <w:p w14:paraId="32FEBD36">
      <w:pPr>
        <w:keepNext w:val="0"/>
        <w:keepLines w:val="0"/>
        <w:pageBreakBefore w:val="0"/>
        <w:tabs>
          <w:tab w:val="left" w:pos="0"/>
          <w:tab w:val="left" w:pos="160"/>
          <w:tab w:val="left" w:pos="640"/>
          <w:tab w:val="left" w:pos="5120"/>
          <w:tab w:val="left" w:pos="6720"/>
          <w:tab w:val="left" w:pos="8960"/>
        </w:tabs>
        <w:kinsoku/>
        <w:wordWrap/>
        <w:overflowPunct/>
        <w:topLinePunct w:val="0"/>
        <w:autoSpaceDE/>
        <w:autoSpaceDN/>
        <w:bidi w:val="0"/>
        <w:adjustRightInd/>
        <w:snapToGrid/>
        <w:spacing w:line="560" w:lineRule="exact"/>
        <w:ind w:right="-36" w:rightChars="-15" w:firstLine="480" w:firstLineChars="200"/>
        <w:textAlignment w:val="auto"/>
        <w:rPr>
          <w:rFonts w:hint="default" w:ascii="宋体" w:hAnsi="宋体"/>
          <w:color w:val="auto"/>
          <w:sz w:val="24"/>
          <w:u w:val="single"/>
          <w:lang w:val="en-US" w:eastAsia="zh-CN"/>
        </w:rPr>
      </w:pPr>
      <w:r>
        <w:rPr>
          <w:rFonts w:hint="eastAsia" w:ascii="宋体" w:hAnsi="宋体"/>
          <w:color w:val="auto"/>
          <w:sz w:val="24"/>
          <w:u w:val="none"/>
          <w:lang w:val="en-US" w:eastAsia="zh-CN"/>
        </w:rPr>
        <w:t>（三）付款条件：</w:t>
      </w:r>
      <w:r>
        <w:rPr>
          <w:rFonts w:hint="eastAsia" w:ascii="宋体" w:hAnsi="宋体"/>
          <w:color w:val="auto"/>
          <w:sz w:val="24"/>
          <w:u w:val="single"/>
          <w:lang w:val="en-US" w:eastAsia="zh-CN"/>
        </w:rPr>
        <w:t>由采购人负责结算，每次付款前中标人须向采购人提供付款金额的等额发票。</w:t>
      </w:r>
    </w:p>
    <w:p w14:paraId="31E0DFA3">
      <w:pPr>
        <w:keepNext w:val="0"/>
        <w:keepLines w:val="0"/>
        <w:pageBreakBefore w:val="0"/>
        <w:widowControl/>
        <w:kinsoku/>
        <w:wordWrap/>
        <w:overflowPunct/>
        <w:topLinePunct w:val="0"/>
        <w:autoSpaceDE/>
        <w:autoSpaceDN/>
        <w:bidi w:val="0"/>
        <w:adjustRightInd/>
        <w:snapToGrid/>
        <w:spacing w:line="560" w:lineRule="exact"/>
        <w:ind w:firstLine="482"/>
        <w:textAlignment w:val="auto"/>
        <w:rPr>
          <w:rFonts w:ascii="宋体" w:hAnsi="宋体"/>
          <w:color w:val="auto"/>
          <w:kern w:val="0"/>
          <w:sz w:val="24"/>
        </w:rPr>
      </w:pPr>
      <w:r>
        <w:rPr>
          <w:rFonts w:hint="eastAsia" w:ascii="宋体" w:hAnsi="宋体"/>
          <w:color w:val="auto"/>
          <w:kern w:val="0"/>
          <w:sz w:val="24"/>
        </w:rPr>
        <w:t>第</w:t>
      </w:r>
      <w:r>
        <w:rPr>
          <w:rFonts w:hint="eastAsia" w:ascii="宋体" w:hAnsi="宋体"/>
          <w:color w:val="auto"/>
          <w:kern w:val="0"/>
          <w:sz w:val="24"/>
          <w:lang w:eastAsia="zh-CN"/>
        </w:rPr>
        <w:t>六</w:t>
      </w:r>
      <w:r>
        <w:rPr>
          <w:rFonts w:hint="eastAsia" w:ascii="宋体" w:hAnsi="宋体"/>
          <w:color w:val="auto"/>
          <w:kern w:val="0"/>
          <w:sz w:val="24"/>
        </w:rPr>
        <w:t>条 通知与送达</w:t>
      </w:r>
    </w:p>
    <w:p w14:paraId="19BBD514">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所有通知和通信都应是书面的（可用电子邮件预送达），并亲自送达或以传真、挂号邮寄、特快专递等方式至本合同所示的项目联系人。</w:t>
      </w:r>
    </w:p>
    <w:p w14:paraId="05781992">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亲自送达或挂号邮寄、特快专递的通知送达时生效，传真发送后在收到对方确认函时生效。任何一方变更本合同所示的项目联系人及联系方式，应提前5日书面通知对方。</w:t>
      </w:r>
    </w:p>
    <w:p w14:paraId="4316C1DD">
      <w:pPr>
        <w:keepNext w:val="0"/>
        <w:keepLines w:val="0"/>
        <w:pageBreakBefore w:val="0"/>
        <w:widowControl/>
        <w:kinsoku/>
        <w:wordWrap/>
        <w:overflowPunct/>
        <w:topLinePunct w:val="0"/>
        <w:autoSpaceDE/>
        <w:autoSpaceDN/>
        <w:bidi w:val="0"/>
        <w:adjustRightInd/>
        <w:snapToGrid/>
        <w:spacing w:line="560" w:lineRule="exact"/>
        <w:ind w:firstLine="482"/>
        <w:textAlignment w:val="auto"/>
        <w:rPr>
          <w:rFonts w:ascii="宋体" w:hAnsi="宋体"/>
          <w:color w:val="auto"/>
          <w:kern w:val="0"/>
          <w:sz w:val="24"/>
        </w:rPr>
      </w:pPr>
      <w:r>
        <w:rPr>
          <w:rFonts w:hint="eastAsia" w:ascii="宋体" w:hAnsi="宋体"/>
          <w:color w:val="auto"/>
          <w:kern w:val="0"/>
          <w:sz w:val="24"/>
        </w:rPr>
        <w:t>第</w:t>
      </w:r>
      <w:r>
        <w:rPr>
          <w:rFonts w:hint="eastAsia" w:ascii="宋体" w:hAnsi="宋体"/>
          <w:color w:val="auto"/>
          <w:kern w:val="0"/>
          <w:sz w:val="24"/>
          <w:lang w:eastAsia="zh-CN"/>
        </w:rPr>
        <w:t>七</w:t>
      </w:r>
      <w:r>
        <w:rPr>
          <w:rFonts w:hint="eastAsia" w:ascii="宋体" w:hAnsi="宋体"/>
          <w:color w:val="auto"/>
          <w:kern w:val="0"/>
          <w:sz w:val="24"/>
        </w:rPr>
        <w:t>条 不可抗力</w:t>
      </w:r>
    </w:p>
    <w:p w14:paraId="14F05035">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发生不可抗力事件，一方在本合同项下受不可抗力影响的义务在不可抗力造成的延误期间自动中止，其履行期限应自动延长，延长期间为中止的期间，该方无须为此承担违约责任。如果发生不可抗力事件，致使不能实现合同目的的，双方均可以解除合同，自解除合同的书面通知到达对方时合同解除，双方均不需向对方承担违约责任。</w:t>
      </w:r>
    </w:p>
    <w:p w14:paraId="0A8A514E">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提出受不可抗力影响的一方应及时书面通知对方，并且在随后的15日内向对方提供不可抗力发生和持续期间的充分证据。提出受不可抗力影响的一方，还应尽一切合理努力排除不可抗力对履行合同造成的影响。</w:t>
      </w:r>
    </w:p>
    <w:p w14:paraId="77A53CDA">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宋体" w:hAnsi="宋体"/>
          <w:color w:val="auto"/>
          <w:kern w:val="0"/>
          <w:sz w:val="24"/>
        </w:rPr>
      </w:pPr>
      <w:r>
        <w:rPr>
          <w:rFonts w:hint="eastAsia" w:ascii="宋体" w:hAnsi="宋体"/>
          <w:color w:val="auto"/>
          <w:kern w:val="0"/>
          <w:sz w:val="24"/>
        </w:rPr>
        <w:t>发生不可抗力的，双方应立即进行磋商，寻求合理的解决方案，并且要尽一切合理努力将不可抗力造成的损失降低到最小程度。</w:t>
      </w:r>
    </w:p>
    <w:p w14:paraId="34DE4129">
      <w:pPr>
        <w:keepNext w:val="0"/>
        <w:keepLines w:val="0"/>
        <w:pageBreakBefore w:val="0"/>
        <w:widowControl/>
        <w:kinsoku/>
        <w:wordWrap/>
        <w:overflowPunct/>
        <w:topLinePunct w:val="0"/>
        <w:autoSpaceDE/>
        <w:autoSpaceDN/>
        <w:bidi w:val="0"/>
        <w:adjustRightInd/>
        <w:snapToGrid/>
        <w:spacing w:line="560" w:lineRule="exact"/>
        <w:ind w:firstLine="482"/>
        <w:textAlignment w:val="auto"/>
        <w:rPr>
          <w:rFonts w:ascii="宋体" w:hAnsi="宋体"/>
          <w:color w:val="auto"/>
          <w:kern w:val="0"/>
          <w:sz w:val="24"/>
        </w:rPr>
      </w:pPr>
      <w:r>
        <w:rPr>
          <w:rFonts w:hint="eastAsia" w:ascii="宋体" w:hAnsi="宋体"/>
          <w:color w:val="auto"/>
          <w:kern w:val="0"/>
          <w:sz w:val="24"/>
        </w:rPr>
        <w:t>第</w:t>
      </w:r>
      <w:r>
        <w:rPr>
          <w:rFonts w:hint="eastAsia" w:ascii="宋体" w:hAnsi="宋体"/>
          <w:color w:val="auto"/>
          <w:kern w:val="0"/>
          <w:sz w:val="24"/>
          <w:lang w:eastAsia="zh-CN"/>
        </w:rPr>
        <w:t>八</w:t>
      </w:r>
      <w:r>
        <w:rPr>
          <w:rFonts w:hint="eastAsia" w:ascii="宋体" w:hAnsi="宋体"/>
          <w:color w:val="auto"/>
          <w:kern w:val="0"/>
          <w:sz w:val="24"/>
        </w:rPr>
        <w:t>条 争议的解决</w:t>
      </w:r>
    </w:p>
    <w:p w14:paraId="662E1EA4">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双方因履行本合同而发生的争议，应协商、调解解决。协商、调解不成的，确定按下列第</w:t>
      </w:r>
      <w:r>
        <w:rPr>
          <w:rFonts w:hint="eastAsia" w:ascii="宋体" w:hAnsi="宋体"/>
          <w:color w:val="auto"/>
          <w:kern w:val="0"/>
          <w:sz w:val="24"/>
          <w:u w:val="single"/>
        </w:rPr>
        <w:t>   </w:t>
      </w:r>
      <w:r>
        <w:rPr>
          <w:rFonts w:hint="eastAsia" w:ascii="宋体" w:hAnsi="宋体"/>
          <w:color w:val="auto"/>
          <w:kern w:val="0"/>
          <w:sz w:val="24"/>
        </w:rPr>
        <w:t>种方式解决：</w:t>
      </w:r>
    </w:p>
    <w:p w14:paraId="6780495D">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（一）提交项目所在地仲裁委员会仲裁；</w:t>
      </w:r>
    </w:p>
    <w:p w14:paraId="7353A363">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（二）向项目所在地人民法院起诉；</w:t>
      </w:r>
    </w:p>
    <w:p w14:paraId="0DC41DAF">
      <w:pPr>
        <w:keepNext w:val="0"/>
        <w:keepLines w:val="0"/>
        <w:pageBreakBefore w:val="0"/>
        <w:widowControl/>
        <w:kinsoku/>
        <w:wordWrap/>
        <w:overflowPunct/>
        <w:topLinePunct w:val="0"/>
        <w:autoSpaceDE/>
        <w:autoSpaceDN/>
        <w:bidi w:val="0"/>
        <w:adjustRightInd/>
        <w:snapToGrid/>
        <w:spacing w:line="560" w:lineRule="exact"/>
        <w:ind w:firstLine="482"/>
        <w:textAlignment w:val="auto"/>
        <w:rPr>
          <w:rFonts w:ascii="宋体" w:hAnsi="宋体"/>
          <w:color w:val="auto"/>
          <w:kern w:val="0"/>
          <w:sz w:val="24"/>
        </w:rPr>
      </w:pPr>
      <w:r>
        <w:rPr>
          <w:rFonts w:hint="eastAsia" w:ascii="宋体" w:hAnsi="宋体"/>
          <w:color w:val="auto"/>
          <w:kern w:val="0"/>
          <w:sz w:val="24"/>
        </w:rPr>
        <w:t>第十条 其他</w:t>
      </w:r>
    </w:p>
    <w:p w14:paraId="6659B0F7">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（一）本合同一式</w:t>
      </w:r>
      <w:r>
        <w:rPr>
          <w:rFonts w:hint="eastAsia" w:ascii="宋体" w:hAnsi="宋体"/>
          <w:color w:val="auto"/>
          <w:kern w:val="0"/>
          <w:sz w:val="24"/>
          <w:u w:val="single"/>
        </w:rPr>
        <w:t xml:space="preserve">  </w:t>
      </w:r>
      <w:r>
        <w:rPr>
          <w:rFonts w:hint="eastAsia" w:ascii="宋体" w:hAnsi="宋体"/>
          <w:color w:val="auto"/>
          <w:kern w:val="0"/>
          <w:sz w:val="24"/>
        </w:rPr>
        <w:t>份，具有同等法律效力，委托方执</w:t>
      </w:r>
      <w:r>
        <w:rPr>
          <w:rFonts w:hint="eastAsia" w:ascii="宋体" w:hAnsi="宋体"/>
          <w:color w:val="auto"/>
          <w:kern w:val="0"/>
          <w:sz w:val="24"/>
          <w:u w:val="single"/>
        </w:rPr>
        <w:t xml:space="preserve">   </w:t>
      </w:r>
      <w:r>
        <w:rPr>
          <w:rFonts w:hint="eastAsia" w:ascii="宋体" w:hAnsi="宋体"/>
          <w:color w:val="auto"/>
          <w:kern w:val="0"/>
          <w:sz w:val="24"/>
        </w:rPr>
        <w:t>份；受托方执</w:t>
      </w:r>
      <w:r>
        <w:rPr>
          <w:rFonts w:hint="eastAsia" w:ascii="宋体" w:hAnsi="宋体"/>
          <w:color w:val="auto"/>
          <w:kern w:val="0"/>
          <w:sz w:val="24"/>
          <w:u w:val="single"/>
        </w:rPr>
        <w:t xml:space="preserve">  </w:t>
      </w:r>
      <w:r>
        <w:rPr>
          <w:rFonts w:hint="eastAsia" w:ascii="宋体" w:hAnsi="宋体"/>
          <w:color w:val="auto"/>
          <w:kern w:val="0"/>
          <w:sz w:val="24"/>
        </w:rPr>
        <w:t>份。</w:t>
      </w:r>
    </w:p>
    <w:p w14:paraId="082CF86F">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（二）本合同自双方法人代表或其授权代表签字、盖章之日起生效，自双方履行完合同约定的义务后自动终止。</w:t>
      </w:r>
    </w:p>
    <w:p w14:paraId="7FBAF0DC">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（三）本合同未尽事宜，由委托方和受托方双方协商并签订补充协议，与本合同具有同等法律效力。</w:t>
      </w:r>
    </w:p>
    <w:p w14:paraId="630FDA71">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宋体" w:hAnsi="宋体"/>
          <w:color w:val="auto"/>
          <w:kern w:val="0"/>
          <w:sz w:val="24"/>
        </w:rPr>
      </w:pPr>
      <w:r>
        <w:rPr>
          <w:rFonts w:hint="eastAsia" w:ascii="宋体" w:hAnsi="宋体"/>
          <w:color w:val="auto"/>
          <w:kern w:val="0"/>
          <w:sz w:val="24"/>
        </w:rPr>
        <w:t>（四）合同附件是本合同不可分割的一部分，与合同具有同等法律效力。合同附件与合同正文冲突时，以合同正文条款为准。</w:t>
      </w:r>
    </w:p>
    <w:tbl>
      <w:tblPr>
        <w:tblStyle w:val="9"/>
        <w:tblW w:w="0" w:type="auto"/>
        <w:tblInd w:w="108" w:type="dxa"/>
        <w:tblLayout w:type="fixed"/>
        <w:tblCellMar>
          <w:top w:w="15" w:type="dxa"/>
          <w:left w:w="15" w:type="dxa"/>
          <w:bottom w:w="15" w:type="dxa"/>
          <w:right w:w="15" w:type="dxa"/>
        </w:tblCellMar>
      </w:tblPr>
      <w:tblGrid>
        <w:gridCol w:w="4341"/>
        <w:gridCol w:w="4555"/>
        <w:gridCol w:w="63"/>
      </w:tblGrid>
      <w:tr w14:paraId="742A99F9">
        <w:tblPrEx>
          <w:tblCellMar>
            <w:top w:w="15" w:type="dxa"/>
            <w:left w:w="15" w:type="dxa"/>
            <w:bottom w:w="15" w:type="dxa"/>
            <w:right w:w="15" w:type="dxa"/>
          </w:tblCellMar>
        </w:tblPrEx>
        <w:trPr>
          <w:gridAfter w:val="1"/>
          <w:wAfter w:w="63" w:type="dxa"/>
          <w:trHeight w:val="514" w:hRule="exact"/>
        </w:trPr>
        <w:tc>
          <w:tcPr>
            <w:tcW w:w="4341" w:type="dxa"/>
            <w:tcBorders>
              <w:top w:val="nil"/>
              <w:left w:val="nil"/>
              <w:bottom w:val="nil"/>
              <w:right w:val="nil"/>
            </w:tcBorders>
            <w:noWrap w:val="0"/>
            <w:tcMar>
              <w:top w:w="0" w:type="dxa"/>
              <w:left w:w="108" w:type="dxa"/>
              <w:bottom w:w="0" w:type="dxa"/>
              <w:right w:w="108" w:type="dxa"/>
            </w:tcMar>
            <w:vAlign w:val="center"/>
          </w:tcPr>
          <w:p w14:paraId="1EB067F3">
            <w:pPr>
              <w:widowControl/>
              <w:rPr>
                <w:color w:val="auto"/>
                <w:kern w:val="0"/>
                <w:sz w:val="24"/>
              </w:rPr>
            </w:pPr>
            <w:r>
              <w:rPr>
                <w:color w:val="auto"/>
                <w:kern w:val="0"/>
                <w:sz w:val="24"/>
              </w:rPr>
              <w:t> </w:t>
            </w:r>
            <w:r>
              <w:rPr>
                <w:rFonts w:hint="eastAsia" w:ascii="宋体" w:hAnsi="宋体"/>
                <w:color w:val="auto"/>
                <w:kern w:val="0"/>
                <w:sz w:val="24"/>
              </w:rPr>
              <w:t>委托方（盖章）：</w:t>
            </w:r>
          </w:p>
        </w:tc>
        <w:tc>
          <w:tcPr>
            <w:tcW w:w="4555" w:type="dxa"/>
            <w:tcBorders>
              <w:top w:val="nil"/>
              <w:left w:val="nil"/>
              <w:bottom w:val="nil"/>
              <w:right w:val="nil"/>
            </w:tcBorders>
            <w:noWrap w:val="0"/>
            <w:tcMar>
              <w:top w:w="0" w:type="dxa"/>
              <w:left w:w="108" w:type="dxa"/>
              <w:bottom w:w="0" w:type="dxa"/>
              <w:right w:w="108" w:type="dxa"/>
            </w:tcMar>
            <w:vAlign w:val="center"/>
          </w:tcPr>
          <w:p w14:paraId="23D8EAF1">
            <w:pPr>
              <w:widowControl/>
              <w:rPr>
                <w:color w:val="auto"/>
                <w:kern w:val="0"/>
                <w:sz w:val="24"/>
              </w:rPr>
            </w:pPr>
            <w:r>
              <w:rPr>
                <w:rFonts w:hint="eastAsia" w:ascii="宋体" w:hAnsi="宋体"/>
                <w:color w:val="auto"/>
                <w:kern w:val="0"/>
                <w:sz w:val="24"/>
              </w:rPr>
              <w:t>受托方（盖章）：</w:t>
            </w:r>
          </w:p>
        </w:tc>
      </w:tr>
      <w:tr w14:paraId="5ED49781">
        <w:tblPrEx>
          <w:tblCellMar>
            <w:top w:w="15" w:type="dxa"/>
            <w:left w:w="15" w:type="dxa"/>
            <w:bottom w:w="15" w:type="dxa"/>
            <w:right w:w="15" w:type="dxa"/>
          </w:tblCellMar>
        </w:tblPrEx>
        <w:trPr>
          <w:gridAfter w:val="1"/>
          <w:wAfter w:w="63" w:type="dxa"/>
          <w:trHeight w:val="514" w:hRule="exact"/>
        </w:trPr>
        <w:tc>
          <w:tcPr>
            <w:tcW w:w="4341" w:type="dxa"/>
            <w:tcBorders>
              <w:top w:val="nil"/>
              <w:left w:val="nil"/>
              <w:bottom w:val="nil"/>
              <w:right w:val="nil"/>
            </w:tcBorders>
            <w:noWrap w:val="0"/>
            <w:tcMar>
              <w:top w:w="0" w:type="dxa"/>
              <w:left w:w="108" w:type="dxa"/>
              <w:bottom w:w="0" w:type="dxa"/>
              <w:right w:w="108" w:type="dxa"/>
            </w:tcMar>
            <w:vAlign w:val="center"/>
          </w:tcPr>
          <w:p w14:paraId="7D5535E0">
            <w:pPr>
              <w:widowControl/>
              <w:rPr>
                <w:color w:val="auto"/>
                <w:kern w:val="0"/>
                <w:sz w:val="24"/>
              </w:rPr>
            </w:pPr>
            <w:r>
              <w:rPr>
                <w:rFonts w:hint="eastAsia" w:ascii="宋体" w:hAnsi="宋体"/>
                <w:color w:val="auto"/>
                <w:kern w:val="0"/>
                <w:sz w:val="24"/>
              </w:rPr>
              <w:t>法定代表人：</w:t>
            </w:r>
          </w:p>
        </w:tc>
        <w:tc>
          <w:tcPr>
            <w:tcW w:w="4555" w:type="dxa"/>
            <w:tcBorders>
              <w:top w:val="nil"/>
              <w:left w:val="nil"/>
              <w:bottom w:val="nil"/>
              <w:right w:val="nil"/>
            </w:tcBorders>
            <w:noWrap w:val="0"/>
            <w:tcMar>
              <w:top w:w="0" w:type="dxa"/>
              <w:left w:w="108" w:type="dxa"/>
              <w:bottom w:w="0" w:type="dxa"/>
              <w:right w:w="108" w:type="dxa"/>
            </w:tcMar>
            <w:vAlign w:val="center"/>
          </w:tcPr>
          <w:p w14:paraId="0F708A49">
            <w:pPr>
              <w:widowControl/>
              <w:rPr>
                <w:color w:val="auto"/>
                <w:kern w:val="0"/>
                <w:sz w:val="24"/>
              </w:rPr>
            </w:pPr>
            <w:r>
              <w:rPr>
                <w:rFonts w:hint="eastAsia" w:ascii="宋体" w:hAnsi="宋体"/>
                <w:color w:val="auto"/>
                <w:kern w:val="0"/>
                <w:sz w:val="24"/>
              </w:rPr>
              <w:t>法定代表人：</w:t>
            </w:r>
          </w:p>
        </w:tc>
      </w:tr>
      <w:tr w14:paraId="64886CAE">
        <w:tblPrEx>
          <w:tblCellMar>
            <w:top w:w="15" w:type="dxa"/>
            <w:left w:w="15" w:type="dxa"/>
            <w:bottom w:w="15" w:type="dxa"/>
            <w:right w:w="15" w:type="dxa"/>
          </w:tblCellMar>
        </w:tblPrEx>
        <w:trPr>
          <w:gridAfter w:val="1"/>
          <w:wAfter w:w="63" w:type="dxa"/>
          <w:trHeight w:val="514" w:hRule="exact"/>
        </w:trPr>
        <w:tc>
          <w:tcPr>
            <w:tcW w:w="4341" w:type="dxa"/>
            <w:tcBorders>
              <w:top w:val="nil"/>
              <w:left w:val="nil"/>
              <w:bottom w:val="nil"/>
              <w:right w:val="nil"/>
            </w:tcBorders>
            <w:noWrap w:val="0"/>
            <w:tcMar>
              <w:top w:w="0" w:type="dxa"/>
              <w:left w:w="108" w:type="dxa"/>
              <w:bottom w:w="0" w:type="dxa"/>
              <w:right w:w="108" w:type="dxa"/>
            </w:tcMar>
            <w:vAlign w:val="center"/>
          </w:tcPr>
          <w:p w14:paraId="47A15B59">
            <w:pPr>
              <w:widowControl/>
              <w:rPr>
                <w:color w:val="auto"/>
                <w:kern w:val="0"/>
                <w:sz w:val="24"/>
              </w:rPr>
            </w:pPr>
            <w:r>
              <w:rPr>
                <w:rFonts w:hint="eastAsia" w:ascii="宋体" w:hAnsi="宋体"/>
                <w:color w:val="auto"/>
                <w:kern w:val="0"/>
                <w:sz w:val="24"/>
              </w:rPr>
              <w:t>或委托代理人：</w:t>
            </w:r>
          </w:p>
        </w:tc>
        <w:tc>
          <w:tcPr>
            <w:tcW w:w="4555" w:type="dxa"/>
            <w:tcBorders>
              <w:top w:val="nil"/>
              <w:left w:val="nil"/>
              <w:bottom w:val="nil"/>
              <w:right w:val="nil"/>
            </w:tcBorders>
            <w:noWrap w:val="0"/>
            <w:tcMar>
              <w:top w:w="0" w:type="dxa"/>
              <w:left w:w="108" w:type="dxa"/>
              <w:bottom w:w="0" w:type="dxa"/>
              <w:right w:w="108" w:type="dxa"/>
            </w:tcMar>
            <w:vAlign w:val="center"/>
          </w:tcPr>
          <w:p w14:paraId="6E461224">
            <w:pPr>
              <w:widowControl/>
              <w:rPr>
                <w:color w:val="auto"/>
                <w:kern w:val="0"/>
                <w:sz w:val="24"/>
              </w:rPr>
            </w:pPr>
            <w:r>
              <w:rPr>
                <w:rFonts w:hint="eastAsia" w:ascii="宋体" w:hAnsi="宋体"/>
                <w:color w:val="auto"/>
                <w:kern w:val="0"/>
                <w:sz w:val="24"/>
              </w:rPr>
              <w:t>或委托代理人：</w:t>
            </w:r>
          </w:p>
        </w:tc>
      </w:tr>
      <w:tr w14:paraId="62D80B8C">
        <w:tblPrEx>
          <w:tblCellMar>
            <w:top w:w="15" w:type="dxa"/>
            <w:left w:w="15" w:type="dxa"/>
            <w:bottom w:w="15" w:type="dxa"/>
            <w:right w:w="15" w:type="dxa"/>
          </w:tblCellMar>
        </w:tblPrEx>
        <w:trPr>
          <w:gridAfter w:val="1"/>
          <w:wAfter w:w="63" w:type="dxa"/>
          <w:trHeight w:val="514" w:hRule="exact"/>
        </w:trPr>
        <w:tc>
          <w:tcPr>
            <w:tcW w:w="4341" w:type="dxa"/>
            <w:tcBorders>
              <w:top w:val="nil"/>
              <w:left w:val="nil"/>
              <w:bottom w:val="nil"/>
              <w:right w:val="nil"/>
            </w:tcBorders>
            <w:noWrap w:val="0"/>
            <w:tcMar>
              <w:top w:w="0" w:type="dxa"/>
              <w:left w:w="108" w:type="dxa"/>
              <w:bottom w:w="0" w:type="dxa"/>
              <w:right w:w="108" w:type="dxa"/>
            </w:tcMar>
            <w:vAlign w:val="center"/>
          </w:tcPr>
          <w:p w14:paraId="0B119B35">
            <w:pPr>
              <w:widowControl/>
              <w:rPr>
                <w:color w:val="auto"/>
                <w:kern w:val="0"/>
                <w:sz w:val="24"/>
              </w:rPr>
            </w:pPr>
            <w:r>
              <w:rPr>
                <w:rFonts w:hint="eastAsia" w:ascii="宋体" w:hAnsi="宋体"/>
                <w:color w:val="auto"/>
                <w:kern w:val="0"/>
                <w:sz w:val="24"/>
              </w:rPr>
              <w:t>签字地点：</w:t>
            </w:r>
          </w:p>
        </w:tc>
        <w:tc>
          <w:tcPr>
            <w:tcW w:w="4555" w:type="dxa"/>
            <w:tcBorders>
              <w:top w:val="nil"/>
              <w:left w:val="nil"/>
              <w:bottom w:val="nil"/>
              <w:right w:val="nil"/>
            </w:tcBorders>
            <w:noWrap w:val="0"/>
            <w:tcMar>
              <w:top w:w="0" w:type="dxa"/>
              <w:left w:w="108" w:type="dxa"/>
              <w:bottom w:w="0" w:type="dxa"/>
              <w:right w:w="108" w:type="dxa"/>
            </w:tcMar>
            <w:vAlign w:val="center"/>
          </w:tcPr>
          <w:p w14:paraId="4D21C39C">
            <w:pPr>
              <w:widowControl/>
              <w:rPr>
                <w:color w:val="auto"/>
                <w:kern w:val="0"/>
                <w:sz w:val="24"/>
              </w:rPr>
            </w:pPr>
            <w:r>
              <w:rPr>
                <w:rFonts w:hint="eastAsia" w:ascii="宋体" w:hAnsi="宋体"/>
                <w:color w:val="auto"/>
                <w:kern w:val="0"/>
                <w:sz w:val="24"/>
              </w:rPr>
              <w:t>签字地点：</w:t>
            </w:r>
          </w:p>
        </w:tc>
      </w:tr>
      <w:tr w14:paraId="15BCE520">
        <w:tblPrEx>
          <w:tblCellMar>
            <w:top w:w="15" w:type="dxa"/>
            <w:left w:w="15" w:type="dxa"/>
            <w:bottom w:w="15" w:type="dxa"/>
            <w:right w:w="15" w:type="dxa"/>
          </w:tblCellMar>
        </w:tblPrEx>
        <w:trPr>
          <w:gridAfter w:val="1"/>
          <w:wAfter w:w="63" w:type="dxa"/>
          <w:trHeight w:val="514" w:hRule="exact"/>
        </w:trPr>
        <w:tc>
          <w:tcPr>
            <w:tcW w:w="4341" w:type="dxa"/>
            <w:tcBorders>
              <w:top w:val="nil"/>
              <w:left w:val="nil"/>
              <w:bottom w:val="nil"/>
              <w:right w:val="nil"/>
            </w:tcBorders>
            <w:noWrap w:val="0"/>
            <w:tcMar>
              <w:top w:w="0" w:type="dxa"/>
              <w:left w:w="108" w:type="dxa"/>
              <w:bottom w:w="0" w:type="dxa"/>
              <w:right w:w="108" w:type="dxa"/>
            </w:tcMar>
            <w:vAlign w:val="center"/>
          </w:tcPr>
          <w:p w14:paraId="7C61DC97">
            <w:pPr>
              <w:widowControl/>
              <w:rPr>
                <w:color w:val="auto"/>
                <w:kern w:val="0"/>
                <w:sz w:val="24"/>
              </w:rPr>
            </w:pPr>
            <w:r>
              <w:rPr>
                <w:rFonts w:hint="eastAsia" w:ascii="宋体" w:hAnsi="宋体"/>
                <w:color w:val="auto"/>
                <w:kern w:val="0"/>
                <w:sz w:val="24"/>
              </w:rPr>
              <w:t>经</w:t>
            </w:r>
            <w:r>
              <w:rPr>
                <w:color w:val="auto"/>
                <w:kern w:val="0"/>
                <w:sz w:val="24"/>
              </w:rPr>
              <w:t> </w:t>
            </w:r>
            <w:r>
              <w:rPr>
                <w:rFonts w:hint="eastAsia" w:ascii="宋体" w:hAnsi="宋体"/>
                <w:color w:val="auto"/>
                <w:kern w:val="0"/>
                <w:sz w:val="24"/>
              </w:rPr>
              <w:t>办</w:t>
            </w:r>
            <w:r>
              <w:rPr>
                <w:color w:val="auto"/>
                <w:kern w:val="0"/>
                <w:sz w:val="24"/>
              </w:rPr>
              <w:t> </w:t>
            </w:r>
            <w:r>
              <w:rPr>
                <w:rFonts w:hint="eastAsia" w:ascii="宋体" w:hAnsi="宋体"/>
                <w:color w:val="auto"/>
                <w:kern w:val="0"/>
                <w:sz w:val="24"/>
              </w:rPr>
              <w:t>人：</w:t>
            </w:r>
          </w:p>
        </w:tc>
        <w:tc>
          <w:tcPr>
            <w:tcW w:w="4555" w:type="dxa"/>
            <w:tcBorders>
              <w:top w:val="nil"/>
              <w:left w:val="nil"/>
              <w:bottom w:val="nil"/>
              <w:right w:val="nil"/>
            </w:tcBorders>
            <w:noWrap w:val="0"/>
            <w:tcMar>
              <w:top w:w="0" w:type="dxa"/>
              <w:left w:w="108" w:type="dxa"/>
              <w:bottom w:w="0" w:type="dxa"/>
              <w:right w:w="108" w:type="dxa"/>
            </w:tcMar>
            <w:vAlign w:val="center"/>
          </w:tcPr>
          <w:p w14:paraId="3D2511BF">
            <w:pPr>
              <w:widowControl/>
              <w:rPr>
                <w:color w:val="auto"/>
                <w:kern w:val="0"/>
                <w:sz w:val="24"/>
              </w:rPr>
            </w:pPr>
            <w:r>
              <w:rPr>
                <w:rFonts w:hint="eastAsia" w:ascii="宋体" w:hAnsi="宋体"/>
                <w:color w:val="auto"/>
                <w:kern w:val="0"/>
                <w:sz w:val="24"/>
              </w:rPr>
              <w:t>经</w:t>
            </w:r>
            <w:r>
              <w:rPr>
                <w:color w:val="auto"/>
                <w:kern w:val="0"/>
                <w:sz w:val="24"/>
              </w:rPr>
              <w:t> </w:t>
            </w:r>
            <w:r>
              <w:rPr>
                <w:rFonts w:hint="eastAsia" w:ascii="宋体" w:hAnsi="宋体"/>
                <w:color w:val="auto"/>
                <w:kern w:val="0"/>
                <w:sz w:val="24"/>
              </w:rPr>
              <w:t>办</w:t>
            </w:r>
            <w:r>
              <w:rPr>
                <w:color w:val="auto"/>
                <w:kern w:val="0"/>
                <w:sz w:val="24"/>
              </w:rPr>
              <w:t> </w:t>
            </w:r>
            <w:r>
              <w:rPr>
                <w:rFonts w:hint="eastAsia" w:ascii="宋体" w:hAnsi="宋体"/>
                <w:color w:val="auto"/>
                <w:kern w:val="0"/>
                <w:sz w:val="24"/>
              </w:rPr>
              <w:t>人：</w:t>
            </w:r>
          </w:p>
        </w:tc>
      </w:tr>
      <w:tr w14:paraId="6B755317">
        <w:tblPrEx>
          <w:tblCellMar>
            <w:top w:w="15" w:type="dxa"/>
            <w:left w:w="15" w:type="dxa"/>
            <w:bottom w:w="15" w:type="dxa"/>
            <w:right w:w="15" w:type="dxa"/>
          </w:tblCellMar>
        </w:tblPrEx>
        <w:trPr>
          <w:gridAfter w:val="1"/>
          <w:wAfter w:w="63" w:type="dxa"/>
          <w:trHeight w:val="514" w:hRule="exact"/>
        </w:trPr>
        <w:tc>
          <w:tcPr>
            <w:tcW w:w="4341" w:type="dxa"/>
            <w:tcBorders>
              <w:top w:val="nil"/>
              <w:left w:val="nil"/>
              <w:bottom w:val="nil"/>
              <w:right w:val="nil"/>
            </w:tcBorders>
            <w:noWrap w:val="0"/>
            <w:tcMar>
              <w:top w:w="0" w:type="dxa"/>
              <w:left w:w="108" w:type="dxa"/>
              <w:bottom w:w="0" w:type="dxa"/>
              <w:right w:w="108" w:type="dxa"/>
            </w:tcMar>
            <w:vAlign w:val="center"/>
          </w:tcPr>
          <w:p w14:paraId="33251870">
            <w:pPr>
              <w:widowControl/>
              <w:rPr>
                <w:color w:val="auto"/>
                <w:kern w:val="0"/>
                <w:sz w:val="24"/>
              </w:rPr>
            </w:pPr>
            <w:r>
              <w:rPr>
                <w:rFonts w:hint="eastAsia" w:ascii="宋体" w:hAnsi="宋体"/>
                <w:color w:val="auto"/>
                <w:kern w:val="0"/>
                <w:sz w:val="24"/>
              </w:rPr>
              <w:t>开</w:t>
            </w:r>
            <w:r>
              <w:rPr>
                <w:color w:val="auto"/>
                <w:kern w:val="0"/>
                <w:sz w:val="24"/>
              </w:rPr>
              <w:t> </w:t>
            </w:r>
            <w:r>
              <w:rPr>
                <w:rFonts w:hint="eastAsia" w:ascii="宋体" w:hAnsi="宋体"/>
                <w:color w:val="auto"/>
                <w:kern w:val="0"/>
                <w:sz w:val="24"/>
              </w:rPr>
              <w:t>户</w:t>
            </w:r>
            <w:r>
              <w:rPr>
                <w:color w:val="auto"/>
                <w:kern w:val="0"/>
                <w:sz w:val="24"/>
              </w:rPr>
              <w:t> </w:t>
            </w:r>
            <w:r>
              <w:rPr>
                <w:rFonts w:hint="eastAsia" w:ascii="宋体" w:hAnsi="宋体"/>
                <w:color w:val="auto"/>
                <w:kern w:val="0"/>
                <w:sz w:val="24"/>
              </w:rPr>
              <w:t>名：</w:t>
            </w:r>
          </w:p>
          <w:p w14:paraId="4499A85E">
            <w:pPr>
              <w:widowControl/>
              <w:rPr>
                <w:color w:val="auto"/>
                <w:kern w:val="0"/>
                <w:sz w:val="24"/>
              </w:rPr>
            </w:pPr>
            <w:r>
              <w:rPr>
                <w:color w:val="auto"/>
                <w:kern w:val="0"/>
                <w:sz w:val="24"/>
              </w:rPr>
              <w:t> </w:t>
            </w:r>
          </w:p>
        </w:tc>
        <w:tc>
          <w:tcPr>
            <w:tcW w:w="4555" w:type="dxa"/>
            <w:tcBorders>
              <w:top w:val="nil"/>
              <w:left w:val="nil"/>
              <w:bottom w:val="nil"/>
              <w:right w:val="nil"/>
            </w:tcBorders>
            <w:noWrap w:val="0"/>
            <w:tcMar>
              <w:top w:w="0" w:type="dxa"/>
              <w:left w:w="108" w:type="dxa"/>
              <w:bottom w:w="0" w:type="dxa"/>
              <w:right w:w="108" w:type="dxa"/>
            </w:tcMar>
            <w:vAlign w:val="center"/>
          </w:tcPr>
          <w:p w14:paraId="75FBA28A">
            <w:pPr>
              <w:widowControl/>
              <w:rPr>
                <w:color w:val="auto"/>
                <w:kern w:val="0"/>
                <w:sz w:val="24"/>
              </w:rPr>
            </w:pPr>
            <w:r>
              <w:rPr>
                <w:rFonts w:hint="eastAsia" w:ascii="宋体" w:hAnsi="宋体"/>
                <w:color w:val="auto"/>
                <w:kern w:val="0"/>
                <w:sz w:val="24"/>
              </w:rPr>
              <w:t>开</w:t>
            </w:r>
            <w:r>
              <w:rPr>
                <w:color w:val="auto"/>
                <w:kern w:val="0"/>
                <w:sz w:val="24"/>
              </w:rPr>
              <w:t> </w:t>
            </w:r>
            <w:r>
              <w:rPr>
                <w:rFonts w:hint="eastAsia" w:ascii="宋体" w:hAnsi="宋体"/>
                <w:color w:val="auto"/>
                <w:kern w:val="0"/>
                <w:sz w:val="24"/>
              </w:rPr>
              <w:t>户</w:t>
            </w:r>
            <w:r>
              <w:rPr>
                <w:color w:val="auto"/>
                <w:kern w:val="0"/>
                <w:sz w:val="24"/>
              </w:rPr>
              <w:t> </w:t>
            </w:r>
            <w:r>
              <w:rPr>
                <w:rFonts w:hint="eastAsia" w:ascii="宋体" w:hAnsi="宋体"/>
                <w:color w:val="auto"/>
                <w:kern w:val="0"/>
                <w:sz w:val="24"/>
              </w:rPr>
              <w:t>名：</w:t>
            </w:r>
          </w:p>
          <w:p w14:paraId="3A43369D">
            <w:pPr>
              <w:widowControl/>
              <w:rPr>
                <w:color w:val="auto"/>
                <w:kern w:val="0"/>
                <w:sz w:val="24"/>
              </w:rPr>
            </w:pPr>
            <w:r>
              <w:rPr>
                <w:color w:val="auto"/>
                <w:kern w:val="0"/>
                <w:sz w:val="24"/>
              </w:rPr>
              <w:t> </w:t>
            </w:r>
          </w:p>
        </w:tc>
      </w:tr>
      <w:tr w14:paraId="1168B3E2">
        <w:tblPrEx>
          <w:tblCellMar>
            <w:top w:w="15" w:type="dxa"/>
            <w:left w:w="15" w:type="dxa"/>
            <w:bottom w:w="15" w:type="dxa"/>
            <w:right w:w="15" w:type="dxa"/>
          </w:tblCellMar>
        </w:tblPrEx>
        <w:trPr>
          <w:gridAfter w:val="1"/>
          <w:wAfter w:w="63" w:type="dxa"/>
          <w:trHeight w:val="514" w:hRule="exact"/>
        </w:trPr>
        <w:tc>
          <w:tcPr>
            <w:tcW w:w="4341" w:type="dxa"/>
            <w:tcBorders>
              <w:top w:val="nil"/>
              <w:left w:val="nil"/>
              <w:bottom w:val="nil"/>
              <w:right w:val="nil"/>
            </w:tcBorders>
            <w:noWrap w:val="0"/>
            <w:tcMar>
              <w:top w:w="0" w:type="dxa"/>
              <w:left w:w="108" w:type="dxa"/>
              <w:bottom w:w="0" w:type="dxa"/>
              <w:right w:w="108" w:type="dxa"/>
            </w:tcMar>
            <w:vAlign w:val="center"/>
          </w:tcPr>
          <w:p w14:paraId="204E0F61">
            <w:pPr>
              <w:widowControl/>
              <w:rPr>
                <w:color w:val="auto"/>
                <w:kern w:val="0"/>
                <w:sz w:val="24"/>
              </w:rPr>
            </w:pPr>
            <w:r>
              <w:rPr>
                <w:rFonts w:hint="eastAsia" w:ascii="宋体" w:hAnsi="宋体"/>
                <w:color w:val="auto"/>
                <w:kern w:val="0"/>
                <w:sz w:val="24"/>
              </w:rPr>
              <w:t>开户银行：</w:t>
            </w:r>
          </w:p>
          <w:p w14:paraId="3A22F612">
            <w:pPr>
              <w:widowControl/>
              <w:rPr>
                <w:color w:val="auto"/>
                <w:kern w:val="0"/>
                <w:sz w:val="24"/>
              </w:rPr>
            </w:pPr>
            <w:r>
              <w:rPr>
                <w:color w:val="auto"/>
                <w:kern w:val="0"/>
                <w:sz w:val="24"/>
              </w:rPr>
              <w:t> </w:t>
            </w:r>
          </w:p>
        </w:tc>
        <w:tc>
          <w:tcPr>
            <w:tcW w:w="4555" w:type="dxa"/>
            <w:tcBorders>
              <w:top w:val="nil"/>
              <w:left w:val="nil"/>
              <w:bottom w:val="nil"/>
              <w:right w:val="nil"/>
            </w:tcBorders>
            <w:noWrap w:val="0"/>
            <w:tcMar>
              <w:top w:w="0" w:type="dxa"/>
              <w:left w:w="108" w:type="dxa"/>
              <w:bottom w:w="0" w:type="dxa"/>
              <w:right w:w="108" w:type="dxa"/>
            </w:tcMar>
            <w:vAlign w:val="center"/>
          </w:tcPr>
          <w:p w14:paraId="19C52A14">
            <w:pPr>
              <w:widowControl/>
              <w:rPr>
                <w:color w:val="auto"/>
                <w:kern w:val="0"/>
                <w:sz w:val="24"/>
              </w:rPr>
            </w:pPr>
            <w:r>
              <w:rPr>
                <w:rFonts w:hint="eastAsia" w:ascii="宋体" w:hAnsi="宋体"/>
                <w:color w:val="auto"/>
                <w:kern w:val="0"/>
                <w:sz w:val="24"/>
              </w:rPr>
              <w:t>开户银行：</w:t>
            </w:r>
          </w:p>
          <w:p w14:paraId="204FC72D">
            <w:pPr>
              <w:widowControl/>
              <w:rPr>
                <w:color w:val="auto"/>
                <w:kern w:val="0"/>
                <w:sz w:val="24"/>
              </w:rPr>
            </w:pPr>
            <w:r>
              <w:rPr>
                <w:color w:val="auto"/>
                <w:kern w:val="0"/>
                <w:sz w:val="24"/>
              </w:rPr>
              <w:t> </w:t>
            </w:r>
          </w:p>
        </w:tc>
      </w:tr>
      <w:tr w14:paraId="09A34220">
        <w:tblPrEx>
          <w:tblCellMar>
            <w:top w:w="15" w:type="dxa"/>
            <w:left w:w="15" w:type="dxa"/>
            <w:bottom w:w="15" w:type="dxa"/>
            <w:right w:w="15" w:type="dxa"/>
          </w:tblCellMar>
        </w:tblPrEx>
        <w:trPr>
          <w:gridAfter w:val="1"/>
          <w:wAfter w:w="63" w:type="dxa"/>
          <w:trHeight w:val="514" w:hRule="exact"/>
        </w:trPr>
        <w:tc>
          <w:tcPr>
            <w:tcW w:w="4341" w:type="dxa"/>
            <w:tcBorders>
              <w:top w:val="nil"/>
              <w:left w:val="nil"/>
              <w:bottom w:val="nil"/>
              <w:right w:val="nil"/>
            </w:tcBorders>
            <w:noWrap w:val="0"/>
            <w:tcMar>
              <w:top w:w="0" w:type="dxa"/>
              <w:left w:w="108" w:type="dxa"/>
              <w:bottom w:w="0" w:type="dxa"/>
              <w:right w:w="108" w:type="dxa"/>
            </w:tcMar>
            <w:vAlign w:val="center"/>
          </w:tcPr>
          <w:p w14:paraId="6A737C49">
            <w:pPr>
              <w:widowControl/>
              <w:rPr>
                <w:color w:val="auto"/>
                <w:kern w:val="0"/>
                <w:sz w:val="24"/>
              </w:rPr>
            </w:pPr>
            <w:r>
              <w:rPr>
                <w:rFonts w:hint="eastAsia" w:ascii="宋体" w:hAnsi="宋体"/>
                <w:color w:val="auto"/>
                <w:kern w:val="0"/>
                <w:sz w:val="24"/>
              </w:rPr>
              <w:t>银行帐号：</w:t>
            </w:r>
          </w:p>
          <w:p w14:paraId="4A18F49E">
            <w:pPr>
              <w:widowControl/>
              <w:rPr>
                <w:color w:val="auto"/>
                <w:kern w:val="0"/>
                <w:sz w:val="24"/>
              </w:rPr>
            </w:pPr>
            <w:r>
              <w:rPr>
                <w:color w:val="auto"/>
                <w:kern w:val="0"/>
                <w:sz w:val="24"/>
              </w:rPr>
              <w:t> </w:t>
            </w:r>
          </w:p>
        </w:tc>
        <w:tc>
          <w:tcPr>
            <w:tcW w:w="4555" w:type="dxa"/>
            <w:tcBorders>
              <w:top w:val="nil"/>
              <w:left w:val="nil"/>
              <w:bottom w:val="nil"/>
              <w:right w:val="nil"/>
            </w:tcBorders>
            <w:noWrap w:val="0"/>
            <w:tcMar>
              <w:top w:w="0" w:type="dxa"/>
              <w:left w:w="108" w:type="dxa"/>
              <w:bottom w:w="0" w:type="dxa"/>
              <w:right w:w="108" w:type="dxa"/>
            </w:tcMar>
            <w:vAlign w:val="center"/>
          </w:tcPr>
          <w:p w14:paraId="2B08EE90">
            <w:pPr>
              <w:widowControl/>
              <w:rPr>
                <w:color w:val="auto"/>
                <w:kern w:val="0"/>
                <w:sz w:val="24"/>
              </w:rPr>
            </w:pPr>
            <w:r>
              <w:rPr>
                <w:rFonts w:hint="eastAsia" w:ascii="宋体" w:hAnsi="宋体"/>
                <w:color w:val="auto"/>
                <w:kern w:val="0"/>
                <w:sz w:val="24"/>
              </w:rPr>
              <w:t>银行帐号：</w:t>
            </w:r>
          </w:p>
          <w:p w14:paraId="6CB0A309">
            <w:pPr>
              <w:widowControl/>
              <w:rPr>
                <w:color w:val="auto"/>
                <w:kern w:val="0"/>
                <w:sz w:val="24"/>
              </w:rPr>
            </w:pPr>
            <w:r>
              <w:rPr>
                <w:color w:val="auto"/>
                <w:kern w:val="0"/>
                <w:sz w:val="24"/>
              </w:rPr>
              <w:t> </w:t>
            </w:r>
          </w:p>
        </w:tc>
      </w:tr>
      <w:tr w14:paraId="417EDC31">
        <w:tblPrEx>
          <w:tblCellMar>
            <w:top w:w="15" w:type="dxa"/>
            <w:left w:w="15" w:type="dxa"/>
            <w:bottom w:w="15" w:type="dxa"/>
            <w:right w:w="15" w:type="dxa"/>
          </w:tblCellMar>
        </w:tblPrEx>
        <w:trPr>
          <w:trHeight w:val="793" w:hRule="exact"/>
        </w:trPr>
        <w:tc>
          <w:tcPr>
            <w:tcW w:w="4341" w:type="dxa"/>
            <w:tcBorders>
              <w:top w:val="nil"/>
              <w:left w:val="nil"/>
              <w:bottom w:val="nil"/>
              <w:right w:val="nil"/>
            </w:tcBorders>
            <w:noWrap w:val="0"/>
            <w:tcMar>
              <w:top w:w="0" w:type="dxa"/>
              <w:left w:w="108" w:type="dxa"/>
              <w:bottom w:w="0" w:type="dxa"/>
              <w:right w:w="108" w:type="dxa"/>
            </w:tcMar>
            <w:vAlign w:val="center"/>
          </w:tcPr>
          <w:p w14:paraId="1C76D1C3">
            <w:pPr>
              <w:widowControl/>
              <w:rPr>
                <w:color w:val="auto"/>
                <w:kern w:val="0"/>
                <w:sz w:val="24"/>
              </w:rPr>
            </w:pPr>
            <w:r>
              <w:rPr>
                <w:rFonts w:hint="eastAsia" w:ascii="宋体" w:hAnsi="宋体"/>
                <w:color w:val="auto"/>
                <w:kern w:val="0"/>
                <w:sz w:val="24"/>
              </w:rPr>
              <w:t>日</w:t>
            </w:r>
            <w:r>
              <w:rPr>
                <w:color w:val="auto"/>
                <w:kern w:val="0"/>
                <w:sz w:val="24"/>
              </w:rPr>
              <w:t>    </w:t>
            </w:r>
            <w:r>
              <w:rPr>
                <w:rFonts w:hint="eastAsia" w:ascii="宋体" w:hAnsi="宋体"/>
                <w:color w:val="auto"/>
                <w:kern w:val="0"/>
                <w:sz w:val="24"/>
              </w:rPr>
              <w:t>期：</w:t>
            </w:r>
            <w:r>
              <w:rPr>
                <w:color w:val="auto"/>
                <w:kern w:val="0"/>
                <w:sz w:val="24"/>
              </w:rPr>
              <w:t>  </w:t>
            </w:r>
            <w:r>
              <w:rPr>
                <w:rFonts w:hint="eastAsia" w:ascii="宋体" w:hAnsi="宋体"/>
                <w:color w:val="auto"/>
                <w:kern w:val="0"/>
                <w:sz w:val="24"/>
              </w:rPr>
              <w:t>年  月</w:t>
            </w:r>
            <w:r>
              <w:rPr>
                <w:color w:val="auto"/>
                <w:kern w:val="0"/>
                <w:sz w:val="24"/>
              </w:rPr>
              <w:t> </w:t>
            </w:r>
            <w:r>
              <w:rPr>
                <w:rFonts w:hint="eastAsia" w:ascii="宋体" w:hAnsi="宋体"/>
                <w:color w:val="auto"/>
                <w:kern w:val="0"/>
                <w:sz w:val="24"/>
              </w:rPr>
              <w:t>  日</w:t>
            </w:r>
          </w:p>
        </w:tc>
        <w:tc>
          <w:tcPr>
            <w:tcW w:w="4618" w:type="dxa"/>
            <w:gridSpan w:val="2"/>
            <w:tcBorders>
              <w:top w:val="nil"/>
              <w:left w:val="nil"/>
              <w:bottom w:val="nil"/>
              <w:right w:val="nil"/>
            </w:tcBorders>
            <w:noWrap w:val="0"/>
            <w:tcMar>
              <w:top w:w="0" w:type="dxa"/>
              <w:left w:w="108" w:type="dxa"/>
              <w:bottom w:w="0" w:type="dxa"/>
              <w:right w:w="108" w:type="dxa"/>
            </w:tcMar>
            <w:vAlign w:val="center"/>
          </w:tcPr>
          <w:p w14:paraId="208C3A86">
            <w:pPr>
              <w:widowControl/>
              <w:rPr>
                <w:rFonts w:ascii="宋体" w:hAnsi="宋体"/>
                <w:color w:val="auto"/>
                <w:kern w:val="0"/>
                <w:sz w:val="24"/>
              </w:rPr>
            </w:pPr>
            <w:r>
              <w:rPr>
                <w:rFonts w:hint="eastAsia" w:ascii="宋体" w:hAnsi="宋体"/>
                <w:color w:val="auto"/>
                <w:kern w:val="0"/>
                <w:sz w:val="24"/>
              </w:rPr>
              <w:t>日</w:t>
            </w:r>
            <w:r>
              <w:rPr>
                <w:color w:val="auto"/>
                <w:kern w:val="0"/>
                <w:sz w:val="24"/>
              </w:rPr>
              <w:t>    </w:t>
            </w:r>
            <w:r>
              <w:rPr>
                <w:rFonts w:hint="eastAsia" w:ascii="宋体" w:hAnsi="宋体"/>
                <w:color w:val="auto"/>
                <w:kern w:val="0"/>
                <w:sz w:val="24"/>
              </w:rPr>
              <w:t>期：</w:t>
            </w:r>
            <w:r>
              <w:rPr>
                <w:color w:val="auto"/>
                <w:kern w:val="0"/>
                <w:sz w:val="24"/>
              </w:rPr>
              <w:t>  </w:t>
            </w:r>
            <w:r>
              <w:rPr>
                <w:rFonts w:hint="eastAsia" w:ascii="宋体" w:hAnsi="宋体"/>
                <w:color w:val="auto"/>
                <w:kern w:val="0"/>
                <w:sz w:val="24"/>
              </w:rPr>
              <w:t>年  月</w:t>
            </w:r>
            <w:r>
              <w:rPr>
                <w:color w:val="auto"/>
                <w:kern w:val="0"/>
                <w:sz w:val="24"/>
              </w:rPr>
              <w:t> </w:t>
            </w:r>
            <w:r>
              <w:rPr>
                <w:rFonts w:hint="eastAsia" w:ascii="宋体" w:hAnsi="宋体"/>
                <w:color w:val="auto"/>
                <w:kern w:val="0"/>
                <w:sz w:val="24"/>
              </w:rPr>
              <w:t>  日</w:t>
            </w:r>
          </w:p>
        </w:tc>
      </w:tr>
    </w:tbl>
    <w:p w14:paraId="412EDF64"/>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CA112">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B9E272">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7B9E272">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1A1B35">
    <w:pPr>
      <w:pStyle w:val="6"/>
      <w:pBdr>
        <w:bottom w:val="none" w:color="auto" w:sz="0" w:space="0"/>
      </w:pBdr>
      <w:jc w:val="left"/>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F94433"/>
    <w:multiLevelType w:val="singleLevel"/>
    <w:tmpl w:val="BBF9443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2E3063"/>
    <w:rsid w:val="194F4FD8"/>
    <w:rsid w:val="19B6307B"/>
    <w:rsid w:val="2407142B"/>
    <w:rsid w:val="39D517AC"/>
    <w:rsid w:val="47385C9C"/>
    <w:rsid w:val="4A160F60"/>
    <w:rsid w:val="7BE97A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3">
    <w:name w:val="Body Text Indent"/>
    <w:basedOn w:val="1"/>
    <w:next w:val="4"/>
    <w:qFormat/>
    <w:uiPriority w:val="0"/>
    <w:pPr>
      <w:widowControl/>
      <w:ind w:firstLine="652" w:firstLineChars="233"/>
    </w:pPr>
    <w:rPr>
      <w:rFonts w:ascii="Times New Roman"/>
      <w:sz w:val="28"/>
    </w:rPr>
  </w:style>
  <w:style w:type="paragraph" w:styleId="4">
    <w:name w:val="envelope return"/>
    <w:basedOn w:val="1"/>
    <w:qFormat/>
    <w:uiPriority w:val="0"/>
    <w:pPr>
      <w:snapToGrid w:val="0"/>
    </w:pPr>
    <w:rPr>
      <w:rFonts w:ascii="Arial" w:hAnsi="Arial" w:eastAsia="宋体" w:cs="Times New Roman"/>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Body Text First Indent 2"/>
    <w:basedOn w:val="3"/>
    <w:unhideWhenUsed/>
    <w:qFormat/>
    <w:uiPriority w:val="0"/>
    <w:pPr>
      <w:ind w:firstLine="420"/>
    </w:pPr>
  </w:style>
  <w:style w:type="paragraph" w:customStyle="1" w:styleId="11">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3538</Words>
  <Characters>3581</Characters>
  <Lines>0</Lines>
  <Paragraphs>0</Paragraphs>
  <TotalTime>2</TotalTime>
  <ScaleCrop>false</ScaleCrop>
  <LinksUpToDate>false</LinksUpToDate>
  <CharactersWithSpaces>3986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2025-03-30T06:06:00Z</dcterms:created>
  <dc:creator>夏夏</dc:creator>
  <cp:lastModifiedBy>敏敏</cp:lastModifiedBy>
  <dcterms:modified xsi:type="dcterms:W3CDTF">2026-03-02T09:06:25Z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eyJoZGlkIjoiZmZkZDgzOTkwYzBkMjQxNjg5MDllYjlhYTNiNzc0YTQiLCJ1c2VySWQiOiIzNjA1NTE1NTQifQ==</vt:lpwstr>
  </property>
  <property fmtid="{D5CDD505-2E9C-101B-9397-08002B2CF9AE}" pid="4" name="ICV">
    <vt:lpwstr>F99BD31EA1BD43898C6A286DA2EE9282_12</vt:lpwstr>
  </property>
</Properties>
</file>