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92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技术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条款响应</w:t>
      </w: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偏离表</w:t>
      </w:r>
    </w:p>
    <w:p w14:paraId="6FD49396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szCs w:val="21"/>
          <w:lang w:val="en-US" w:eastAsia="zh-CN"/>
        </w:rPr>
        <w:t>采购项目</w:t>
      </w:r>
      <w:r>
        <w:rPr>
          <w:rFonts w:hint="eastAsia" w:ascii="宋体" w:hAnsi="宋体"/>
          <w:szCs w:val="21"/>
          <w:lang w:eastAsia="zh-CN"/>
        </w:rPr>
        <w:t>名称：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none"/>
          <w:lang w:val="en-US" w:eastAsia="zh-CN"/>
        </w:rPr>
        <w:t xml:space="preserve">            项目编号：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</w:t>
      </w:r>
    </w:p>
    <w:tbl>
      <w:tblPr>
        <w:tblStyle w:val="3"/>
        <w:tblW w:w="9060" w:type="dxa"/>
        <w:tblInd w:w="-40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2520"/>
        <w:gridCol w:w="3510"/>
        <w:gridCol w:w="1065"/>
        <w:gridCol w:w="1275"/>
      </w:tblGrid>
      <w:tr w14:paraId="213984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690" w:type="dxa"/>
            <w:tcBorders>
              <w:tl2br w:val="nil"/>
              <w:tr2bl w:val="nil"/>
            </w:tcBorders>
            <w:noWrap w:val="0"/>
            <w:vAlign w:val="center"/>
          </w:tcPr>
          <w:p w14:paraId="7FAC7C6C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center"/>
          </w:tcPr>
          <w:p w14:paraId="2860F7A6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</w:rPr>
              <w:t>招标文件要求</w:t>
            </w: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vAlign w:val="center"/>
          </w:tcPr>
          <w:p w14:paraId="46E5D1B6">
            <w:pPr>
              <w:spacing w:line="280" w:lineRule="exact"/>
              <w:jc w:val="center"/>
              <w:rPr>
                <w:rFonts w:hint="default" w:ascii="宋体" w:hAnsi="宋体" w:eastAsia="宋体"/>
                <w:b/>
                <w:bCs/>
                <w:position w:val="4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</w:rPr>
              <w:t>投标文件技术</w:t>
            </w: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  <w:lang w:val="en-US" w:eastAsia="zh-CN"/>
              </w:rPr>
              <w:t>参数及要求响应内容</w:t>
            </w:r>
          </w:p>
        </w:tc>
        <w:tc>
          <w:tcPr>
            <w:tcW w:w="1065" w:type="dxa"/>
            <w:tcBorders>
              <w:tl2br w:val="nil"/>
              <w:tr2bl w:val="nil"/>
            </w:tcBorders>
            <w:noWrap w:val="0"/>
            <w:vAlign w:val="center"/>
          </w:tcPr>
          <w:p w14:paraId="52FEF142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</w:rPr>
              <w:t>偏离情况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center"/>
          </w:tcPr>
          <w:p w14:paraId="0E94AC40"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position w:val="4"/>
                <w:sz w:val="21"/>
                <w:szCs w:val="21"/>
                <w:vertAlign w:val="baseline"/>
              </w:rPr>
            </w:pPr>
            <w:r>
              <w:rPr>
                <w:rFonts w:hint="eastAsia" w:ascii="新宋体" w:hAnsi="新宋体" w:cs="新宋体"/>
                <w:b/>
                <w:color w:val="auto"/>
                <w:sz w:val="21"/>
                <w:szCs w:val="21"/>
              </w:rPr>
              <w:t>说明</w:t>
            </w:r>
          </w:p>
        </w:tc>
      </w:tr>
      <w:tr w14:paraId="3447BD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tcBorders>
              <w:tl2br w:val="nil"/>
              <w:tr2bl w:val="nil"/>
            </w:tcBorders>
            <w:noWrap w:val="0"/>
            <w:vAlign w:val="top"/>
          </w:tcPr>
          <w:p w14:paraId="5F2F77B9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top"/>
          </w:tcPr>
          <w:p w14:paraId="36292BA1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vAlign w:val="top"/>
          </w:tcPr>
          <w:p w14:paraId="08E27801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065" w:type="dxa"/>
            <w:tcBorders>
              <w:tl2br w:val="nil"/>
              <w:tr2bl w:val="nil"/>
            </w:tcBorders>
            <w:noWrap w:val="0"/>
            <w:vAlign w:val="top"/>
          </w:tcPr>
          <w:p w14:paraId="71506195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top"/>
          </w:tcPr>
          <w:p w14:paraId="727E7EA5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</w:tr>
      <w:tr w14:paraId="25EFE3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tcBorders>
              <w:tl2br w:val="nil"/>
              <w:tr2bl w:val="nil"/>
            </w:tcBorders>
            <w:noWrap w:val="0"/>
            <w:vAlign w:val="top"/>
          </w:tcPr>
          <w:p w14:paraId="3B74C0E0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top"/>
          </w:tcPr>
          <w:p w14:paraId="281D9D29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vAlign w:val="top"/>
          </w:tcPr>
          <w:p w14:paraId="3B3277B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065" w:type="dxa"/>
            <w:tcBorders>
              <w:tl2br w:val="nil"/>
              <w:tr2bl w:val="nil"/>
            </w:tcBorders>
            <w:noWrap w:val="0"/>
            <w:vAlign w:val="top"/>
          </w:tcPr>
          <w:p w14:paraId="46739A9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top"/>
          </w:tcPr>
          <w:p w14:paraId="0BDB0A2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</w:tr>
      <w:tr w14:paraId="433355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tcBorders>
              <w:tl2br w:val="nil"/>
              <w:tr2bl w:val="nil"/>
            </w:tcBorders>
            <w:noWrap w:val="0"/>
            <w:vAlign w:val="top"/>
          </w:tcPr>
          <w:p w14:paraId="5DFDDCF3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top"/>
          </w:tcPr>
          <w:p w14:paraId="3CC1C60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vAlign w:val="top"/>
          </w:tcPr>
          <w:p w14:paraId="2E889FD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065" w:type="dxa"/>
            <w:tcBorders>
              <w:tl2br w:val="nil"/>
              <w:tr2bl w:val="nil"/>
            </w:tcBorders>
            <w:noWrap w:val="0"/>
            <w:vAlign w:val="top"/>
          </w:tcPr>
          <w:p w14:paraId="746FA3C0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top"/>
          </w:tcPr>
          <w:p w14:paraId="19B8E39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</w:tr>
      <w:tr w14:paraId="51C9AE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tcBorders>
              <w:tl2br w:val="nil"/>
              <w:tr2bl w:val="nil"/>
            </w:tcBorders>
            <w:noWrap w:val="0"/>
            <w:vAlign w:val="top"/>
          </w:tcPr>
          <w:p w14:paraId="2A06198F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top"/>
          </w:tcPr>
          <w:p w14:paraId="78CADB15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vAlign w:val="top"/>
          </w:tcPr>
          <w:p w14:paraId="23EEE3C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065" w:type="dxa"/>
            <w:tcBorders>
              <w:tl2br w:val="nil"/>
              <w:tr2bl w:val="nil"/>
            </w:tcBorders>
            <w:noWrap w:val="0"/>
            <w:vAlign w:val="top"/>
          </w:tcPr>
          <w:p w14:paraId="30F0384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top"/>
          </w:tcPr>
          <w:p w14:paraId="2094F889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</w:tr>
      <w:tr w14:paraId="4E8715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tcBorders>
              <w:tl2br w:val="nil"/>
              <w:tr2bl w:val="nil"/>
            </w:tcBorders>
            <w:noWrap w:val="0"/>
            <w:vAlign w:val="top"/>
          </w:tcPr>
          <w:p w14:paraId="39EE5F3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top"/>
          </w:tcPr>
          <w:p w14:paraId="38278E1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vAlign w:val="top"/>
          </w:tcPr>
          <w:p w14:paraId="4BCC5E7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065" w:type="dxa"/>
            <w:tcBorders>
              <w:tl2br w:val="nil"/>
              <w:tr2bl w:val="nil"/>
            </w:tcBorders>
            <w:noWrap w:val="0"/>
            <w:vAlign w:val="top"/>
          </w:tcPr>
          <w:p w14:paraId="0942D19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top"/>
          </w:tcPr>
          <w:p w14:paraId="37A20912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</w:tr>
      <w:tr w14:paraId="13121A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tcBorders>
              <w:tl2br w:val="nil"/>
              <w:tr2bl w:val="nil"/>
            </w:tcBorders>
            <w:noWrap w:val="0"/>
            <w:vAlign w:val="top"/>
          </w:tcPr>
          <w:p w14:paraId="705F6F8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top"/>
          </w:tcPr>
          <w:p w14:paraId="20B790BF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vAlign w:val="top"/>
          </w:tcPr>
          <w:p w14:paraId="273CD092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065" w:type="dxa"/>
            <w:tcBorders>
              <w:tl2br w:val="nil"/>
              <w:tr2bl w:val="nil"/>
            </w:tcBorders>
            <w:noWrap w:val="0"/>
            <w:vAlign w:val="top"/>
          </w:tcPr>
          <w:p w14:paraId="38E2B8F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top"/>
          </w:tcPr>
          <w:p w14:paraId="67DC58A3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</w:tr>
      <w:tr w14:paraId="1EEB28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tcBorders>
              <w:tl2br w:val="nil"/>
              <w:tr2bl w:val="nil"/>
            </w:tcBorders>
            <w:noWrap w:val="0"/>
            <w:vAlign w:val="top"/>
          </w:tcPr>
          <w:p w14:paraId="5C817A32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top"/>
          </w:tcPr>
          <w:p w14:paraId="23FCD06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vAlign w:val="top"/>
          </w:tcPr>
          <w:p w14:paraId="2F41F76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065" w:type="dxa"/>
            <w:tcBorders>
              <w:tl2br w:val="nil"/>
              <w:tr2bl w:val="nil"/>
            </w:tcBorders>
            <w:noWrap w:val="0"/>
            <w:vAlign w:val="top"/>
          </w:tcPr>
          <w:p w14:paraId="10514C7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top"/>
          </w:tcPr>
          <w:p w14:paraId="690A8073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</w:tr>
      <w:tr w14:paraId="11215E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tcBorders>
              <w:tl2br w:val="nil"/>
              <w:tr2bl w:val="nil"/>
            </w:tcBorders>
            <w:noWrap w:val="0"/>
            <w:vAlign w:val="top"/>
          </w:tcPr>
          <w:p w14:paraId="3C547F5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top"/>
          </w:tcPr>
          <w:p w14:paraId="173D4DD0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vAlign w:val="top"/>
          </w:tcPr>
          <w:p w14:paraId="5F1BC3E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065" w:type="dxa"/>
            <w:tcBorders>
              <w:tl2br w:val="nil"/>
              <w:tr2bl w:val="nil"/>
            </w:tcBorders>
            <w:noWrap w:val="0"/>
            <w:vAlign w:val="top"/>
          </w:tcPr>
          <w:p w14:paraId="04FD68B5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top"/>
          </w:tcPr>
          <w:p w14:paraId="4DF1B7D2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</w:tr>
      <w:tr w14:paraId="663035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tcBorders>
              <w:tl2br w:val="nil"/>
              <w:tr2bl w:val="nil"/>
            </w:tcBorders>
            <w:noWrap w:val="0"/>
            <w:vAlign w:val="top"/>
          </w:tcPr>
          <w:p w14:paraId="69806CCF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top"/>
          </w:tcPr>
          <w:p w14:paraId="0FFC1613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3510" w:type="dxa"/>
            <w:tcBorders>
              <w:tl2br w:val="nil"/>
              <w:tr2bl w:val="nil"/>
            </w:tcBorders>
            <w:noWrap w:val="0"/>
            <w:vAlign w:val="top"/>
          </w:tcPr>
          <w:p w14:paraId="0E20D08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065" w:type="dxa"/>
            <w:tcBorders>
              <w:tl2br w:val="nil"/>
              <w:tr2bl w:val="nil"/>
            </w:tcBorders>
            <w:noWrap w:val="0"/>
            <w:vAlign w:val="top"/>
          </w:tcPr>
          <w:p w14:paraId="032646C2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noWrap w:val="0"/>
            <w:vAlign w:val="top"/>
          </w:tcPr>
          <w:p w14:paraId="0D1D9CF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vertAlign w:val="baseline"/>
              </w:rPr>
            </w:pPr>
          </w:p>
        </w:tc>
      </w:tr>
    </w:tbl>
    <w:p w14:paraId="034D7B45">
      <w:pPr>
        <w:spacing w:line="440" w:lineRule="exact"/>
        <w:ind w:firstLine="420"/>
        <w:rPr>
          <w:rFonts w:hint="eastAsia" w:ascii="Times New Roman" w:hAnsi="Times New Roman" w:eastAsia="宋体" w:cs="Times New Roman"/>
          <w:szCs w:val="21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szCs w:val="21"/>
          <w:highlight w:val="none"/>
        </w:rPr>
        <w:t>注：1、请</w:t>
      </w:r>
      <w:r>
        <w:rPr>
          <w:rFonts w:hint="eastAsia" w:cs="Times New Roman"/>
          <w:szCs w:val="21"/>
          <w:highlight w:val="none"/>
          <w:lang w:val="en-US" w:eastAsia="zh-CN"/>
        </w:rPr>
        <w:t>投标人按照第三章招标项目技术、服务、商务及其他要求中“技术参数与性能指标”内容进行逐条响应，</w:t>
      </w:r>
      <w:r>
        <w:rPr>
          <w:rFonts w:hint="eastAsia" w:ascii="Times New Roman" w:hAnsi="Times New Roman" w:eastAsia="宋体" w:cs="Times New Roman"/>
          <w:szCs w:val="21"/>
          <w:highlight w:val="none"/>
        </w:rPr>
        <w:t>如有漏报、瞒报</w:t>
      </w:r>
      <w:r>
        <w:rPr>
          <w:rFonts w:hint="eastAsia" w:ascii="Times New Roman" w:hAnsi="Times New Roman" w:eastAsia="宋体" w:cs="Times New Roman"/>
          <w:szCs w:val="21"/>
          <w:highlight w:val="none"/>
          <w:lang w:val="en-US" w:eastAsia="zh-CN"/>
        </w:rPr>
        <w:t>招标</w:t>
      </w:r>
      <w:r>
        <w:rPr>
          <w:rFonts w:hint="eastAsia" w:ascii="Times New Roman" w:hAnsi="Times New Roman" w:eastAsia="宋体" w:cs="Times New Roman"/>
          <w:szCs w:val="21"/>
          <w:highlight w:val="none"/>
          <w:lang w:eastAsia="zh-CN"/>
        </w:rPr>
        <w:t>文件</w:t>
      </w:r>
      <w:r>
        <w:rPr>
          <w:rFonts w:hint="eastAsia" w:ascii="Times New Roman" w:hAnsi="Times New Roman" w:eastAsia="宋体" w:cs="Times New Roman"/>
          <w:szCs w:val="21"/>
          <w:highlight w:val="none"/>
        </w:rPr>
        <w:t>要求的技术指标，将视为没有实质性响应</w:t>
      </w:r>
      <w:r>
        <w:rPr>
          <w:rFonts w:hint="eastAsia" w:cs="Times New Roman"/>
          <w:szCs w:val="21"/>
          <w:highlight w:val="none"/>
          <w:lang w:val="en-US" w:eastAsia="zh-CN"/>
        </w:rPr>
        <w:t>招标</w:t>
      </w:r>
      <w:r>
        <w:rPr>
          <w:rFonts w:hint="eastAsia" w:ascii="Times New Roman" w:hAnsi="Times New Roman" w:eastAsia="宋体" w:cs="Times New Roman"/>
          <w:szCs w:val="21"/>
          <w:highlight w:val="none"/>
        </w:rPr>
        <w:t>文件。</w:t>
      </w:r>
      <w:r>
        <w:rPr>
          <w:rFonts w:hint="eastAsia" w:ascii="Times New Roman" w:hAnsi="Times New Roman" w:eastAsia="宋体" w:cs="Times New Roman"/>
          <w:b/>
          <w:bCs/>
          <w:szCs w:val="21"/>
          <w:highlight w:val="none"/>
        </w:rPr>
        <w:t>偏离情况填写：</w:t>
      </w:r>
      <w:r>
        <w:rPr>
          <w:rFonts w:hint="eastAsia" w:ascii="Times New Roman" w:hAnsi="Times New Roman" w:eastAsia="宋体" w:cs="Times New Roman"/>
          <w:b/>
          <w:bCs/>
          <w:szCs w:val="21"/>
          <w:highlight w:val="none"/>
          <w:lang w:eastAsia="zh-CN"/>
        </w:rPr>
        <w:t>正</w:t>
      </w:r>
      <w:r>
        <w:rPr>
          <w:rFonts w:hint="eastAsia" w:ascii="Times New Roman" w:hAnsi="Times New Roman" w:eastAsia="宋体" w:cs="Times New Roman"/>
          <w:b/>
          <w:bCs/>
          <w:szCs w:val="21"/>
          <w:highlight w:val="none"/>
          <w:lang w:val="en-US" w:eastAsia="zh-CN"/>
        </w:rPr>
        <w:t>偏离、负偏离、无偏离</w:t>
      </w:r>
      <w:r>
        <w:rPr>
          <w:rFonts w:hint="eastAsia" w:ascii="Times New Roman" w:hAnsi="Times New Roman" w:eastAsia="宋体" w:cs="Times New Roman"/>
          <w:b/>
          <w:bCs/>
          <w:szCs w:val="21"/>
          <w:highlight w:val="none"/>
        </w:rPr>
        <w:t>；偏离说明对偏离情况做出详细说明</w:t>
      </w:r>
      <w:r>
        <w:rPr>
          <w:rFonts w:hint="eastAsia" w:cs="Times New Roman"/>
          <w:b/>
          <w:bCs/>
          <w:szCs w:val="21"/>
          <w:highlight w:val="none"/>
          <w:lang w:eastAsia="zh-CN"/>
        </w:rPr>
        <w:t>，</w:t>
      </w:r>
      <w:r>
        <w:rPr>
          <w:rFonts w:hint="eastAsia" w:cs="Times New Roman"/>
          <w:b/>
          <w:bCs/>
          <w:szCs w:val="21"/>
          <w:highlight w:val="none"/>
          <w:lang w:val="en-US" w:eastAsia="zh-CN"/>
        </w:rPr>
        <w:t>并在此表之后提供能证明其参数响应的相关证明材料</w:t>
      </w:r>
      <w:r>
        <w:rPr>
          <w:rFonts w:hint="eastAsia" w:ascii="Times New Roman" w:hAnsi="Times New Roman" w:eastAsia="宋体" w:cs="Times New Roman"/>
          <w:b/>
          <w:bCs/>
          <w:szCs w:val="21"/>
          <w:highlight w:val="none"/>
        </w:rPr>
        <w:t>；</w:t>
      </w:r>
      <w:r>
        <w:rPr>
          <w:rFonts w:hint="eastAsia" w:ascii="Times New Roman" w:hAnsi="Times New Roman" w:eastAsia="宋体" w:cs="Times New Roman"/>
          <w:szCs w:val="21"/>
          <w:highlight w:val="none"/>
        </w:rPr>
        <w:t>如果未填写偏离情况或偏离说明的，则该项指标视为不响应技术要求</w:t>
      </w:r>
      <w:r>
        <w:rPr>
          <w:rFonts w:hint="eastAsia" w:cs="Times New Roman"/>
          <w:szCs w:val="21"/>
          <w:highlight w:val="none"/>
          <w:lang w:eastAsia="zh-CN"/>
        </w:rPr>
        <w:t>。</w:t>
      </w:r>
    </w:p>
    <w:p w14:paraId="464A4083">
      <w:pPr>
        <w:spacing w:line="440" w:lineRule="exact"/>
        <w:ind w:firstLine="420"/>
        <w:rPr>
          <w:rFonts w:hint="eastAsia"/>
          <w:szCs w:val="21"/>
          <w:highlight w:val="none"/>
        </w:rPr>
      </w:pPr>
      <w:r>
        <w:rPr>
          <w:rFonts w:hint="eastAsia"/>
          <w:szCs w:val="21"/>
          <w:highlight w:val="none"/>
        </w:rPr>
        <w:t>2、投标人必须据实填写，不得虚假响应，否则将取消其投标或中标资格，并按有关规定进行处罚。</w:t>
      </w:r>
    </w:p>
    <w:p w14:paraId="6F8FA030">
      <w:pPr>
        <w:spacing w:line="440" w:lineRule="exact"/>
        <w:rPr>
          <w:szCs w:val="21"/>
        </w:rPr>
      </w:pPr>
    </w:p>
    <w:p w14:paraId="1F52822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rPr>
          <w:rFonts w:hint="eastAsia" w:ascii="新宋体" w:hAnsi="新宋体" w:eastAsia="宋体" w:cs="Times New Roman"/>
          <w:b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新宋体" w:hAnsi="新宋体" w:eastAsia="宋体" w:cs="Times New Roman"/>
          <w:b w:val="0"/>
          <w:color w:val="auto"/>
          <w:kern w:val="2"/>
          <w:sz w:val="21"/>
          <w:szCs w:val="21"/>
          <w:lang w:val="en-US" w:eastAsia="zh-CN" w:bidi="ar-SA"/>
        </w:rPr>
        <w:t xml:space="preserve">                                       </w:t>
      </w:r>
      <w:r>
        <w:rPr>
          <w:rFonts w:hint="eastAsia" w:ascii="新宋体" w:hAnsi="新宋体" w:cs="Times New Roman"/>
          <w:b w:val="0"/>
          <w:color w:val="auto"/>
          <w:kern w:val="2"/>
          <w:sz w:val="21"/>
          <w:szCs w:val="21"/>
          <w:lang w:val="en-US" w:eastAsia="zh-CN" w:bidi="ar-SA"/>
        </w:rPr>
        <w:t>供应商</w:t>
      </w:r>
      <w:r>
        <w:rPr>
          <w:rFonts w:hint="eastAsia" w:ascii="新宋体" w:hAnsi="新宋体" w:eastAsia="宋体" w:cs="Times New Roman"/>
          <w:b w:val="0"/>
          <w:color w:val="auto"/>
          <w:kern w:val="2"/>
          <w:sz w:val="21"/>
          <w:szCs w:val="21"/>
          <w:lang w:val="en-US" w:eastAsia="zh-CN" w:bidi="ar-SA"/>
        </w:rPr>
        <w:t>：</w:t>
      </w:r>
      <w:r>
        <w:rPr>
          <w:rFonts w:ascii="新宋体" w:hAnsi="新宋体" w:eastAsia="宋体" w:cs="Times New Roman"/>
          <w:b w:val="0"/>
          <w:color w:val="auto"/>
          <w:kern w:val="2"/>
          <w:sz w:val="21"/>
          <w:szCs w:val="21"/>
          <w:u w:val="single"/>
          <w:lang w:val="en-US" w:eastAsia="zh-CN" w:bidi="ar-SA"/>
        </w:rPr>
        <w:t xml:space="preserve">             </w:t>
      </w:r>
      <w:r>
        <w:rPr>
          <w:rFonts w:hint="eastAsia" w:ascii="新宋体" w:hAnsi="新宋体" w:eastAsia="宋体" w:cs="Times New Roman"/>
          <w:b w:val="0"/>
          <w:color w:val="auto"/>
          <w:kern w:val="2"/>
          <w:sz w:val="21"/>
          <w:szCs w:val="21"/>
          <w:u w:val="single"/>
          <w:lang w:val="en-US" w:eastAsia="zh-CN" w:bidi="ar-SA"/>
        </w:rPr>
        <w:t xml:space="preserve">  （单位全称、盖章）  </w:t>
      </w:r>
      <w:bookmarkStart w:id="0" w:name="_GoBack"/>
      <w:bookmarkEnd w:id="0"/>
      <w:r>
        <w:rPr>
          <w:rFonts w:hint="eastAsia" w:ascii="新宋体" w:hAnsi="新宋体" w:eastAsia="宋体" w:cs="Times New Roman"/>
          <w:b w:val="0"/>
          <w:color w:val="auto"/>
          <w:kern w:val="2"/>
          <w:sz w:val="21"/>
          <w:szCs w:val="21"/>
          <w:lang w:val="en-US" w:eastAsia="zh-CN" w:bidi="ar-SA"/>
        </w:rPr>
        <w:t xml:space="preserve">                             </w:t>
      </w:r>
    </w:p>
    <w:p w14:paraId="64483E51">
      <w:pPr>
        <w:bidi w:val="0"/>
        <w:spacing w:line="480" w:lineRule="auto"/>
        <w:rPr>
          <w:rFonts w:ascii="黑体" w:eastAsia="黑体"/>
          <w:b/>
          <w:bCs/>
          <w:sz w:val="21"/>
          <w:szCs w:val="21"/>
        </w:rPr>
      </w:pPr>
      <w:r>
        <w:rPr>
          <w:rFonts w:hint="eastAsia" w:ascii="新宋体" w:hAnsi="新宋体"/>
          <w:b w:val="0"/>
          <w:color w:val="auto"/>
          <w:sz w:val="21"/>
          <w:szCs w:val="21"/>
          <w:lang w:val="en-US" w:eastAsia="zh-CN"/>
        </w:rPr>
        <w:t xml:space="preserve">                                       </w:t>
      </w:r>
      <w:r>
        <w:rPr>
          <w:rFonts w:hint="eastAsia" w:ascii="新宋体" w:hAnsi="新宋体"/>
          <w:b w:val="0"/>
          <w:color w:val="auto"/>
          <w:sz w:val="21"/>
          <w:szCs w:val="21"/>
        </w:rPr>
        <w:t>日期：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新宋体" w:hAnsi="新宋体"/>
          <w:b w:val="0"/>
          <w:color w:val="auto"/>
          <w:sz w:val="21"/>
          <w:szCs w:val="21"/>
        </w:rPr>
        <w:t>年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</w:rPr>
        <w:t xml:space="preserve">   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</w:rPr>
        <w:t xml:space="preserve"> </w:t>
      </w:r>
      <w:r>
        <w:rPr>
          <w:rFonts w:hint="eastAsia" w:ascii="新宋体" w:hAnsi="新宋体"/>
          <w:b w:val="0"/>
          <w:color w:val="auto"/>
          <w:sz w:val="21"/>
          <w:szCs w:val="21"/>
        </w:rPr>
        <w:t>月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</w:rPr>
        <w:t xml:space="preserve">   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新宋体" w:hAnsi="新宋体"/>
          <w:b w:val="0"/>
          <w:color w:val="auto"/>
          <w:sz w:val="21"/>
          <w:szCs w:val="21"/>
          <w:u w:val="single"/>
        </w:rPr>
        <w:t xml:space="preserve"> </w:t>
      </w:r>
      <w:r>
        <w:rPr>
          <w:rFonts w:hint="eastAsia" w:ascii="新宋体" w:hAnsi="新宋体"/>
          <w:b w:val="0"/>
          <w:color w:val="auto"/>
          <w:sz w:val="21"/>
          <w:szCs w:val="21"/>
        </w:rPr>
        <w:t>日</w:t>
      </w:r>
    </w:p>
    <w:p w14:paraId="0DBBF5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71385"/>
    <w:rsid w:val="4B771385"/>
    <w:rsid w:val="7A86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目录"/>
    <w:qFormat/>
    <w:uiPriority w:val="0"/>
    <w:pPr>
      <w:widowControl/>
      <w:jc w:val="center"/>
    </w:pPr>
    <w:rPr>
      <w:rFonts w:ascii="Times New Roman" w:hAnsi="Times New Roman" w:eastAsia="宋体" w:cs="Times New Roman"/>
      <w:b/>
      <w:kern w:val="2"/>
      <w:sz w:val="36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306</Characters>
  <Lines>0</Lines>
  <Paragraphs>0</Paragraphs>
  <TotalTime>7</TotalTime>
  <ScaleCrop>false</ScaleCrop>
  <LinksUpToDate>false</LinksUpToDate>
  <CharactersWithSpaces>524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2026-03-11T08:09:00Z</dcterms:created>
  <dc:creator>全球少年的梦</dc:creator>
  <cp:lastModifiedBy>全球少年的梦</cp:lastModifiedBy>
  <dcterms:modified xsi:type="dcterms:W3CDTF">2026-03-12T01:24:52Z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9764A1522646495792AEEF67DC0FC76F_11</vt:lpwstr>
  </property>
  <property fmtid="{D5CDD505-2E9C-101B-9397-08002B2CF9AE}" pid="4" name="KSOTemplateDocerSaveRecord">
    <vt:lpwstr>eyJoZGlkIjoiOGFkMjRjOWU3ZmYxZjMxNGY4NWM5NzZjZmUyNmMxMTYiLCJ1c2VySWQiOiIyMzU0NTYxNTYifQ==</vt:lpwstr>
  </property>
</Properties>
</file>