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版本号：LYHJ-2026-001.1B120260202001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乾县文体中心信息化建设项目(二次)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LYHJ-2026-001.1B1</w:t>
      </w:r>
      <w:r>
        <w:br/>
      </w:r>
      <w:r>
        <w:br/>
      </w:r>
      <w:r>
        <w:br/>
      </w:r>
    </w:p>
    <w:p>
      <w:pPr>
        <w:pStyle w:val="null3"/>
        <w:jc w:val="center"/>
        <w:outlineLvl w:val="2"/>
      </w:pPr>
      <w:r>
        <w:rPr>
          <w:rFonts w:ascii="仿宋_GB2312" w:hAnsi="仿宋_GB2312" w:cs="仿宋_GB2312" w:eastAsia="仿宋_GB2312"/>
          <w:sz w:val="28"/>
          <w:b/>
        </w:rPr>
        <w:t>乾县文化和旅游局</w:t>
      </w:r>
    </w:p>
    <w:p>
      <w:pPr>
        <w:pStyle w:val="null3"/>
        <w:jc w:val="center"/>
        <w:outlineLvl w:val="2"/>
      </w:pPr>
      <w:r>
        <w:rPr>
          <w:rFonts w:ascii="仿宋_GB2312" w:hAnsi="仿宋_GB2312" w:cs="仿宋_GB2312" w:eastAsia="仿宋_GB2312"/>
          <w:sz w:val="28"/>
          <w:b/>
        </w:rPr>
        <w:t>陕西朗屹恒基项目咨询管理有限公司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2026年02月05日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陕西朗屹恒基项目咨询管理有限公司</w:t>
      </w:r>
      <w:r>
        <w:rPr>
          <w:rFonts w:ascii="仿宋_GB2312" w:hAnsi="仿宋_GB2312" w:cs="仿宋_GB2312" w:eastAsia="仿宋_GB2312"/>
        </w:rPr>
        <w:t>（以下简称“代理机构”）受</w:t>
      </w:r>
      <w:r>
        <w:rPr>
          <w:rFonts w:ascii="仿宋_GB2312" w:hAnsi="仿宋_GB2312" w:cs="仿宋_GB2312" w:eastAsia="仿宋_GB2312"/>
        </w:rPr>
        <w:t>乾县文化和旅游局</w:t>
      </w:r>
      <w:r>
        <w:rPr>
          <w:rFonts w:ascii="仿宋_GB2312" w:hAnsi="仿宋_GB2312" w:cs="仿宋_GB2312" w:eastAsia="仿宋_GB2312"/>
        </w:rPr>
        <w:t>委托，拟对</w:t>
      </w:r>
      <w:r>
        <w:rPr>
          <w:rFonts w:ascii="仿宋_GB2312" w:hAnsi="仿宋_GB2312" w:cs="仿宋_GB2312" w:eastAsia="仿宋_GB2312"/>
        </w:rPr>
        <w:t>乾县文体中心信息化建设项目(二次)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LYHJ-2026-001.1B1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乾县文体中心信息化建设项目(二次)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乾县体育中心全民健身信息化监测系统建设31台人脸识别抓拍机，10台视频核验摄像机等硬件配套材料以及相关系统软件配套设施，实现场馆客流统计信息化管理。</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采购包1（乾县文体中心信息化建设项目）：属于专门面向中小企业采购。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1、授权委托：非法人参加磋商，须出具法定代表人授权书（附法定代表人、被授权人身份证复印件）及授权代表身份证；法定代表人参加磋商的，须提供法定代表人身份证明书及身份证；</w:t>
      </w:r>
    </w:p>
    <w:p>
      <w:pPr>
        <w:pStyle w:val="null3"/>
      </w:pPr>
      <w:r>
        <w:rPr>
          <w:rFonts w:ascii="仿宋_GB2312" w:hAnsi="仿宋_GB2312" w:cs="仿宋_GB2312" w:eastAsia="仿宋_GB2312"/>
        </w:rPr>
        <w:t>2、信用查询：供应商不得为“信用中国”网站（www.creditchina.gov.cn）中列入失信被执行人和重大税收违法失信主体名单的供应商，不得为中国政府采购网 （www.ccgp.gov.cn）政府采购严重违法失信行为记录名单中被财政部门禁止参加政府采购活动的供应商；</w:t>
      </w:r>
    </w:p>
    <w:p>
      <w:pPr>
        <w:pStyle w:val="null3"/>
      </w:pPr>
      <w:r>
        <w:rPr>
          <w:rFonts w:ascii="仿宋_GB2312" w:hAnsi="仿宋_GB2312" w:cs="仿宋_GB2312" w:eastAsia="仿宋_GB2312"/>
        </w:rPr>
        <w:t>3、企业关联声明：单位负责人为同一人或者存在直接控股、管理关系的不同投标人，不得参加同一招标项目的投标活动。</w:t>
      </w:r>
    </w:p>
    <w:p>
      <w:pPr>
        <w:pStyle w:val="null3"/>
      </w:pPr>
      <w:r>
        <w:rPr>
          <w:rFonts w:ascii="仿宋_GB2312" w:hAnsi="仿宋_GB2312" w:cs="仿宋_GB2312" w:eastAsia="仿宋_GB2312"/>
        </w:rPr>
        <w:t>4、本项目不接受联合体投标：供应商自行编制非联合体投标说明（附在资格证明资料内），格式自拟。</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乾县文化和旅游局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乾县城关街道办靖庄路新城一路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713300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王主任</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029-35525288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陕西朗屹恒基项目咨询管理有限公司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陕西省咸阳市秦都区滨河西路5号咸阳非金属矿研究设计院院内办公楼8楼中段中户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刘乐</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19299397951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乾县政府采购管理股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吴翼臻</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13772572080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采购包1：719,113.00元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根据成交金额，参照国家计委2002年颁发的《招标代理服务收费管理暂行办法》(计价格〔2002〕1980号)及《调整后的招标代理服务收费标准》(发改价格〔2011〕534号)的规定计取，成交供应商领取成交通知书时，须一次性向采购代理机构交纳采购代理服务费。 户名：陕西朗屹恒基项目咨询管理有限公司 开户行：中国农业银行咸阳中华广场支行 账号： 26475001040028833 注：请成交供应商按照要求将服务费汇入以上指定账户，并备注“XX项目服务费”，如因自身原因发生错误，产生的不利后果均由供应商自行承担。</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乾县文化和旅游局</w:t>
      </w:r>
      <w:r>
        <w:rPr>
          <w:rFonts w:ascii="仿宋_GB2312" w:hAnsi="仿宋_GB2312" w:cs="仿宋_GB2312" w:eastAsia="仿宋_GB2312"/>
        </w:rPr>
        <w:t>和</w:t>
      </w:r>
      <w:r>
        <w:rPr>
          <w:rFonts w:ascii="仿宋_GB2312" w:hAnsi="仿宋_GB2312" w:cs="仿宋_GB2312" w:eastAsia="仿宋_GB2312"/>
        </w:rPr>
        <w:t>陕西朗屹恒基项目咨询管理有限公司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乾县文化和旅游局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陕西朗屹恒基项目咨询管理有限公司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乾县文化和旅游局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陕西朗屹恒基项目咨询管理有限公司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达到国家及相关行业规范合格标准，满足采购人要求。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陕西朗屹恒基项目咨询管理有限公司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陕西朗屹恒基项目咨询管理有限公司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陕西朗屹恒基项目咨询管理有限公司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联系人：刘乐</w:t>
      </w:r>
    </w:p>
    <w:p>
      <w:pPr>
        <w:pStyle w:val="null3"/>
      </w:pPr>
      <w:r>
        <w:rPr>
          <w:rFonts w:ascii="仿宋_GB2312" w:hAnsi="仿宋_GB2312" w:cs="仿宋_GB2312" w:eastAsia="仿宋_GB2312"/>
        </w:rPr>
        <w:t>联系电话：19299397951</w:t>
      </w:r>
    </w:p>
    <w:p>
      <w:pPr>
        <w:pStyle w:val="null3"/>
      </w:pPr>
      <w:r>
        <w:rPr>
          <w:rFonts w:ascii="仿宋_GB2312" w:hAnsi="仿宋_GB2312" w:cs="仿宋_GB2312" w:eastAsia="仿宋_GB2312"/>
        </w:rPr>
        <w:t>地址：咸阳市秦都区滨河西路5号咸阳非金属矿研究设计院院内办公楼8楼中段中户</w:t>
      </w:r>
    </w:p>
    <w:p>
      <w:pPr>
        <w:pStyle w:val="null3"/>
      </w:pPr>
      <w:r>
        <w:rPr>
          <w:rFonts w:ascii="仿宋_GB2312" w:hAnsi="仿宋_GB2312" w:cs="仿宋_GB2312" w:eastAsia="仿宋_GB2312"/>
        </w:rPr>
        <w:t>邮编：712000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乾县体育中心全民健身信息化监测系统，建设31台人脸识别抓拍机，10台视频核验摄像机等硬件配套材料以及相关系统软件配套设施，实现场馆客流统计信息化管理。</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719,113.00</w:t>
      </w:r>
    </w:p>
    <w:p>
      <w:pPr>
        <w:pStyle w:val="null3"/>
      </w:pPr>
      <w:r>
        <w:rPr>
          <w:rFonts w:ascii="仿宋_GB2312" w:hAnsi="仿宋_GB2312" w:cs="仿宋_GB2312" w:eastAsia="仿宋_GB2312"/>
        </w:rPr>
        <w:t>采购包最高限价（元）: 719,113.00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场馆信息化建设</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719,113.00</w:t>
            </w:r>
          </w:p>
        </w:tc>
        <w:tc>
          <w:tcPr>
            <w:tcW w:type="dxa" w:w="831"/>
          </w:tcPr>
          <w:p>
            <w:pPr>
              <w:pStyle w:val="null3"/>
            </w:pPr>
            <w:r>
              <w:rPr>
                <w:rFonts w:ascii="仿宋_GB2312" w:hAnsi="仿宋_GB2312" w:cs="仿宋_GB2312" w:eastAsia="仿宋_GB2312"/>
              </w:rPr>
              <w:t>批、次</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标的名称：场馆信息化建设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color w:val="000000"/>
              </w:rPr>
              <w:t>1、采购内容：乾县体育中心全民健身信息化监测系统建设31台人脸识别抓拍机，10台视频核验摄像机等硬件配套材料以及相关系统软件配套设施，实现场馆客流统计信息化管理。软硬件需满足国家体育总局技术规范标准《体育场馆信息化管理服务系统技术规范》及《全民健身信息服务平台数据接口规范》，并且实现数据对接国家体育总局全民健身信息服务平台、省体育局体育场馆大数据平台。</w:t>
            </w:r>
          </w:p>
          <w:p>
            <w:pPr>
              <w:pStyle w:val="null3"/>
            </w:pPr>
            <w:r>
              <w:rPr>
                <w:rFonts w:ascii="仿宋_GB2312" w:hAnsi="仿宋_GB2312" w:cs="仿宋_GB2312" w:eastAsia="仿宋_GB2312"/>
                <w:color w:val="000000"/>
              </w:rPr>
              <w:t>2、服务清单：</w:t>
            </w:r>
          </w:p>
          <w:p>
            <w:pPr>
              <w:pStyle w:val="null3"/>
              <w:jc w:val="both"/>
            </w:pPr>
            <w:r>
              <w:rPr>
                <w:rFonts w:ascii="仿宋_GB2312" w:hAnsi="仿宋_GB2312" w:cs="仿宋_GB2312" w:eastAsia="仿宋_GB2312"/>
                <w:sz w:val="18"/>
                <w:b/>
                <w:color w:val="000000"/>
              </w:rPr>
              <w:t>软件清单：</w:t>
            </w:r>
          </w:p>
          <w:tbl>
            <w:tblPr>
              <w:tblBorders>
                <w:top w:val="none" w:color="000000" w:sz="4"/>
                <w:left w:val="none" w:color="000000" w:sz="4"/>
                <w:bottom w:val="none" w:color="000000" w:sz="4"/>
                <w:right w:val="none" w:color="000000" w:sz="4"/>
                <w:insideH w:val="none"/>
                <w:insideV w:val="none"/>
              </w:tblBorders>
            </w:tblPr>
            <w:tblGrid>
              <w:gridCol w:w="212"/>
              <w:gridCol w:w="406"/>
              <w:gridCol w:w="1574"/>
              <w:gridCol w:w="176"/>
              <w:gridCol w:w="185"/>
            </w:tblGrid>
            <w:tr>
              <w:tc>
                <w:tcPr>
                  <w:tcW w:type="dxa" w:w="212"/>
                  <w:tcBorders>
                    <w:top w:val="single" w:color="000000" w:sz="4"/>
                    <w:left w:val="single" w:color="000000" w:sz="4"/>
                    <w:bottom w:val="single" w:color="000000" w:sz="4"/>
                    <w:right w:val="single" w:color="000000" w:sz="4"/>
                  </w:tcBorders>
                  <w:shd w:fill="FFF2CC"/>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序号</w:t>
                  </w:r>
                </w:p>
              </w:tc>
              <w:tc>
                <w:tcPr>
                  <w:tcW w:type="dxa" w:w="406"/>
                  <w:tcBorders>
                    <w:top w:val="single" w:color="000000" w:sz="4"/>
                    <w:left w:val="single" w:color="000000" w:sz="4"/>
                    <w:bottom w:val="single" w:color="000000" w:sz="4"/>
                    <w:right w:val="single" w:color="000000" w:sz="4"/>
                  </w:tcBorders>
                  <w:shd w:fill="FFF2CC"/>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系统名称</w:t>
                  </w:r>
                </w:p>
              </w:tc>
              <w:tc>
                <w:tcPr>
                  <w:tcW w:type="dxa" w:w="1574"/>
                  <w:tcBorders>
                    <w:top w:val="single" w:color="000000" w:sz="4"/>
                    <w:left w:val="single" w:color="000000" w:sz="4"/>
                    <w:bottom w:val="single" w:color="000000" w:sz="4"/>
                    <w:right w:val="single" w:color="000000" w:sz="4"/>
                  </w:tcBorders>
                  <w:shd w:fill="FFF2CC"/>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功能描述</w:t>
                  </w:r>
                </w:p>
              </w:tc>
              <w:tc>
                <w:tcPr>
                  <w:tcW w:type="dxa" w:w="176"/>
                  <w:tcBorders>
                    <w:top w:val="single" w:color="000000" w:sz="4"/>
                    <w:left w:val="single" w:color="000000" w:sz="4"/>
                    <w:bottom w:val="single" w:color="000000" w:sz="4"/>
                    <w:right w:val="single" w:color="000000" w:sz="4"/>
                  </w:tcBorders>
                  <w:shd w:fill="FFF2CC"/>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单位</w:t>
                  </w:r>
                </w:p>
              </w:tc>
              <w:tc>
                <w:tcPr>
                  <w:tcW w:type="dxa" w:w="185"/>
                  <w:tcBorders>
                    <w:top w:val="single" w:color="000000" w:sz="4"/>
                    <w:left w:val="single" w:color="000000" w:sz="4"/>
                    <w:bottom w:val="single" w:color="000000" w:sz="4"/>
                    <w:right w:val="single" w:color="000000" w:sz="4"/>
                  </w:tcBorders>
                  <w:shd w:fill="FFF2CC"/>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数量</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AI人脸识别系统</w:t>
                  </w:r>
                </w:p>
              </w:tc>
              <w:tc>
                <w:tcPr>
                  <w:tcW w:type="dxa" w:w="15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对接入的客流统计设备进行数据采集与基础数据分析，按照年、月、日、小时等时间维度进行客流数量的统计，根据安装点位进行客流分布情况的预警</w:t>
                  </w:r>
                  <w:r>
                    <w:rPr>
                      <w:rFonts w:ascii="仿宋_GB2312" w:hAnsi="仿宋_GB2312" w:cs="仿宋_GB2312" w:eastAsia="仿宋_GB2312"/>
                      <w:sz w:val="18"/>
                      <w:color w:val="000000"/>
                    </w:rPr>
                    <w:t>,支持抓拍人脸后统计客流数量，为每个人分配编号支持抓拍人脸后计算该用户的到场频次，并显示上一次入场时间,对人群的活动轨迹进行分析，从而精确识别，对所有人员行为实行系统化、标准化、规范化的统一管理，以便形成统一的企业形象，便于统一的经营管理。</w:t>
                  </w:r>
                </w:p>
              </w:tc>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实时画面备查系统</w:t>
                  </w:r>
                </w:p>
              </w:tc>
              <w:tc>
                <w:tcPr>
                  <w:tcW w:type="dxa" w:w="15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与监控设备云平台进行对接，改造监控设备，使本地监控视频可以通过互联网上传至设备云平台，实现场地视频的直播与在线查看，可以将监控视频整合至大数据展示系统内，进行部分核验呈现</w:t>
                  </w:r>
                  <w:r>
                    <w:rPr>
                      <w:rFonts w:ascii="仿宋_GB2312" w:hAnsi="仿宋_GB2312" w:cs="仿宋_GB2312" w:eastAsia="仿宋_GB2312"/>
                      <w:sz w:val="18"/>
                      <w:color w:val="000000"/>
                    </w:rPr>
                    <w:t>.支持实时查看摄像头抓取的画面、支持查询已经识别的人脸图片,监测云平台对接与监控设备平台进行对接，改造监控设备，使本地监控视频可以通过互联网上传至设备云平台，实现场地视频的直播与在线查看，可以将监控视频整合至大数据展示系统内，进行部分核验呈现。</w:t>
                  </w:r>
                </w:p>
              </w:tc>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40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人工智能行为识别系统</w:t>
                  </w:r>
                </w:p>
              </w:tc>
              <w:tc>
                <w:tcPr>
                  <w:tcW w:type="dxa" w:w="157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采用机器视觉图像感知技术和人工智能深度学习技术，通过人体特征算法建立图像模型，完成自动识别目标。支持抓拍人脸后识别用户性别属性；采用机器视觉图像感知技术和人工智能深度学习技术，通过人体特征算法建立图像模型，完成自动识别目标，对人群的活动轨迹进行分析，从而精确识别。</w:t>
                  </w:r>
                </w:p>
              </w:tc>
              <w:tc>
                <w:tcPr>
                  <w:tcW w:type="dxa" w:w="1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40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数据可视化管理系统</w:t>
                  </w:r>
                </w:p>
              </w:tc>
              <w:tc>
                <w:tcPr>
                  <w:tcW w:type="dxa" w:w="157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展示不同区域内的实时客流人数与变化</w:t>
                  </w:r>
                  <w:r>
                    <w:rPr>
                      <w:rFonts w:ascii="仿宋_GB2312" w:hAnsi="仿宋_GB2312" w:cs="仿宋_GB2312" w:eastAsia="仿宋_GB2312"/>
                      <w:sz w:val="18"/>
                      <w:color w:val="000000"/>
                    </w:rPr>
                    <w:t>,针对不同项目爱好人群进行分析:平台数据推送至显示大屏进行播放、管理，显示大屏幕系统接入调试</w:t>
                  </w:r>
                </w:p>
                <w:p>
                  <w:pPr>
                    <w:pStyle w:val="null3"/>
                    <w:jc w:val="left"/>
                  </w:pPr>
                  <w:r>
                    <w:rPr>
                      <w:rFonts w:ascii="仿宋_GB2312" w:hAnsi="仿宋_GB2312" w:cs="仿宋_GB2312" w:eastAsia="仿宋_GB2312"/>
                      <w:sz w:val="18"/>
                      <w:color w:val="000000"/>
                    </w:rPr>
                    <w:t>1.集中或者汇总展示：为了让管理人员更好地掌握情况，可以在柱状图的右边，增加一张没有完成计划的销售人员数据表，这样管理人员是不是在掌控全局的基础上，很容易抓住所有焦点，进行逐一处理；2.扫尾的处理：让可视化的细节更为精准，甚至优美，比较典型的工作包括设置标题，表明数据来源，对过长的柱子进行缩略处理，进行表格线的颜色设置，各种字体、图素粗细、颜色设置等等；3.完美的风格化：布局、用色、图素，常用的图表、信息图形式、数据、信息维度控制，典型的图标(ICON)等，从而形成让接受者直观了然地理解、接受。</w:t>
                  </w:r>
                </w:p>
              </w:tc>
              <w:tc>
                <w:tcPr>
                  <w:tcW w:type="dxa" w:w="1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40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云端服务器数据部署系统</w:t>
                  </w:r>
                </w:p>
              </w:tc>
              <w:tc>
                <w:tcPr>
                  <w:tcW w:type="dxa" w:w="157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汇聚各客流监测点位设备端数据，集中平台式部署，所有客流统计单点数据抓取管理；通过云端服务器汇聚各客流监测点位设备端数据</w:t>
                  </w:r>
                  <w:r>
                    <w:rPr>
                      <w:rFonts w:ascii="仿宋_GB2312" w:hAnsi="仿宋_GB2312" w:cs="仿宋_GB2312" w:eastAsia="仿宋_GB2312"/>
                      <w:sz w:val="18"/>
                      <w:color w:val="000000"/>
                    </w:rPr>
                    <w:t>,集中平台式部署，所有客流统计单点数据抓取管理客流点位数据接入平台联调，客流聚合数据与第三方数据平台联调测试；将IPC设备采集的音视频数据向其他终端设备屏幕实时推送。</w:t>
                  </w:r>
                </w:p>
              </w:tc>
              <w:tc>
                <w:tcPr>
                  <w:tcW w:type="dxa" w:w="1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w:t>
                  </w:r>
                </w:p>
              </w:tc>
              <w:tc>
                <w:tcPr>
                  <w:tcW w:type="dxa" w:w="40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数据汇总统计报表系统</w:t>
                  </w:r>
                </w:p>
              </w:tc>
              <w:tc>
                <w:tcPr>
                  <w:tcW w:type="dxa" w:w="157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系统能够直观的了解到场馆按照日/月/年的低开免开情况，可以使场馆的日常管理工作以及监管方对场馆低开免开情况的监管工作更加轻量化和扁平化；2.根据时间段查询场地开放详情，开放详情汇总统计，导出数据等功能，可以通过系统提供的功能，导出excel报表；3.通过系统收集的数据，可以展示多场馆对比报表，直观的了解各场馆的开放情况；4.通过获取到的用户特征数据，可以分析输出健身人群分析表；5.通过获取到的综合数据，还可以展示市民爱好的运动项目。</w:t>
                  </w:r>
                </w:p>
              </w:tc>
              <w:tc>
                <w:tcPr>
                  <w:tcW w:type="dxa" w:w="1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w:t>
                  </w:r>
                </w:p>
              </w:tc>
              <w:tc>
                <w:tcPr>
                  <w:tcW w:type="dxa" w:w="40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系统后台管理系统</w:t>
                  </w:r>
                </w:p>
              </w:tc>
              <w:tc>
                <w:tcPr>
                  <w:tcW w:type="dxa" w:w="15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模块化精细管理，可划分不同用户组，对不同组进行功能模块权限授权访问；2.统一用户授权管理，可根据需求添加编辑删除账户信息，分配不同场馆、大屏管理权限；3.自动巡检报警功能，当设备掉线或者其他原因不能工作时，将会通过邮件或者短信的方式通知到管理员；4.多</w:t>
                  </w:r>
                  <w:r>
                    <w:rPr>
                      <w:rFonts w:ascii="仿宋_GB2312" w:hAnsi="仿宋_GB2312" w:cs="仿宋_GB2312" w:eastAsia="仿宋_GB2312"/>
                      <w:sz w:val="18"/>
                      <w:color w:val="000000"/>
                    </w:rPr>
                    <w:t>维度客流信息管理，可实现年月日或小时统计，也可查看各通道实时详情客流，可以查看某节点某天客流每个小时的客流数量，分析客流的波动情况和高峰期；</w:t>
                  </w:r>
                  <w:r>
                    <w:rPr>
                      <w:rFonts w:ascii="仿宋_GB2312" w:hAnsi="仿宋_GB2312" w:cs="仿宋_GB2312" w:eastAsia="仿宋_GB2312"/>
                      <w:sz w:val="18"/>
                      <w:color w:val="000000"/>
                    </w:rPr>
                    <w:t>5.客流修复功能，发生网络故障或其他问题导致客流异常的可</w:t>
                  </w:r>
                  <w:r>
                    <w:rPr>
                      <w:rFonts w:ascii="仿宋_GB2312" w:hAnsi="仿宋_GB2312" w:cs="仿宋_GB2312" w:eastAsia="仿宋_GB2312"/>
                      <w:sz w:val="18"/>
                      <w:color w:val="000000"/>
                    </w:rPr>
                    <w:t>以通过该功能进行修复，最大程度还原真实客流情况。</w:t>
                  </w:r>
                </w:p>
              </w:tc>
              <w:tc>
                <w:tcPr>
                  <w:tcW w:type="dxa" w:w="1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w:t>
                  </w:r>
                </w:p>
              </w:tc>
              <w:tc>
                <w:tcPr>
                  <w:tcW w:type="dxa" w:w="40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统一视频通道管理系统</w:t>
                  </w:r>
                </w:p>
              </w:tc>
              <w:tc>
                <w:tcPr>
                  <w:tcW w:type="dxa" w:w="157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实现接体育场馆视频调度的统一管理，可以自动筛选和自动提取视频通道功能，方便场馆快速接入和统一管控；提供对外视频统一调度接口。</w:t>
                  </w:r>
                </w:p>
              </w:tc>
              <w:tc>
                <w:tcPr>
                  <w:tcW w:type="dxa" w:w="1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w:t>
                  </w:r>
                </w:p>
              </w:tc>
              <w:tc>
                <w:tcPr>
                  <w:tcW w:type="dxa" w:w="40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安全防护系统</w:t>
                  </w:r>
                </w:p>
              </w:tc>
              <w:tc>
                <w:tcPr>
                  <w:tcW w:type="dxa" w:w="157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防止</w:t>
                  </w:r>
                  <w:r>
                    <w:rPr>
                      <w:rFonts w:ascii="仿宋_GB2312" w:hAnsi="仿宋_GB2312" w:cs="仿宋_GB2312" w:eastAsia="仿宋_GB2312"/>
                      <w:sz w:val="18"/>
                      <w:color w:val="000000"/>
                    </w:rPr>
                    <w:t>SQL注入，XSS跨站攻击，黑白名单限制访问功能，密码去明文化和去常规化加密手段，采用自定义不可逆加密方式对用户密码进行保护，提高系统整体安全性能，保障系统平台平稳运行，加入DDOS防护，提升平台抗攻击能力。</w:t>
                  </w:r>
                </w:p>
              </w:tc>
              <w:tc>
                <w:tcPr>
                  <w:tcW w:type="dxa" w:w="1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c>
                <w:tcPr>
                  <w:tcW w:type="dxa" w:w="40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场馆设备故障预警功能</w:t>
                  </w:r>
                </w:p>
              </w:tc>
              <w:tc>
                <w:tcPr>
                  <w:tcW w:type="dxa" w:w="157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自动提取近几日客流变化情况，对流量异常的场馆进行预警提示，提升场馆前端运维效能。</w:t>
                  </w:r>
                </w:p>
              </w:tc>
              <w:tc>
                <w:tcPr>
                  <w:tcW w:type="dxa" w:w="1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w:t>
                  </w:r>
                </w:p>
              </w:tc>
              <w:tc>
                <w:tcPr>
                  <w:tcW w:type="dxa" w:w="40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完备的日志记录</w:t>
                  </w:r>
                </w:p>
              </w:tc>
              <w:tc>
                <w:tcPr>
                  <w:tcW w:type="dxa" w:w="157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详细记录系统的各种操作日志、数据接收发送日志等。</w:t>
                  </w:r>
                </w:p>
              </w:tc>
              <w:tc>
                <w:tcPr>
                  <w:tcW w:type="dxa" w:w="1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w:t>
                  </w:r>
                </w:p>
              </w:tc>
              <w:tc>
                <w:tcPr>
                  <w:tcW w:type="dxa" w:w="40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四大主流客流服务商对接系统</w:t>
                  </w:r>
                </w:p>
              </w:tc>
              <w:tc>
                <w:tcPr>
                  <w:tcW w:type="dxa" w:w="157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实现对主流客流平台的对接，包括华为、海康、大华、宇视等，实现体育总局、动网天下等多家数据服务商的联动访问，支持视频流、客流信息、设备管理等。</w:t>
                  </w:r>
                </w:p>
              </w:tc>
              <w:tc>
                <w:tcPr>
                  <w:tcW w:type="dxa" w:w="1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w:t>
                  </w:r>
                </w:p>
              </w:tc>
              <w:tc>
                <w:tcPr>
                  <w:tcW w:type="dxa" w:w="40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数据采集系统</w:t>
                  </w:r>
                </w:p>
              </w:tc>
              <w:tc>
                <w:tcPr>
                  <w:tcW w:type="dxa" w:w="157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对客流数据进行集中采集，支持断点续传、客流修复，故障诊断，支持客流和特征数据采集，支持采集通道控制等。</w:t>
                  </w:r>
                </w:p>
              </w:tc>
              <w:tc>
                <w:tcPr>
                  <w:tcW w:type="dxa" w:w="1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bl>
          <w:p>
            <w:pPr>
              <w:pStyle w:val="null3"/>
              <w:jc w:val="both"/>
            </w:pPr>
            <w:r>
              <w:rPr>
                <w:rFonts w:ascii="仿宋_GB2312" w:hAnsi="仿宋_GB2312" w:cs="仿宋_GB2312" w:eastAsia="仿宋_GB2312"/>
                <w:sz w:val="18"/>
                <w:b/>
                <w:color w:val="000000"/>
              </w:rPr>
              <w:t>硬件清单：</w:t>
            </w:r>
          </w:p>
          <w:tbl>
            <w:tblPr>
              <w:tblBorders>
                <w:top w:val="none" w:color="000000" w:sz="4"/>
                <w:left w:val="none" w:color="000000" w:sz="4"/>
                <w:bottom w:val="none" w:color="000000" w:sz="4"/>
                <w:right w:val="none" w:color="000000" w:sz="4"/>
                <w:insideH w:val="none"/>
                <w:insideV w:val="none"/>
              </w:tblBorders>
            </w:tblPr>
            <w:tblGrid>
              <w:gridCol w:w="217"/>
              <w:gridCol w:w="218"/>
              <w:gridCol w:w="321"/>
              <w:gridCol w:w="278"/>
              <w:gridCol w:w="1145"/>
              <w:gridCol w:w="171"/>
              <w:gridCol w:w="204"/>
            </w:tblGrid>
            <w:tr>
              <w:tc>
                <w:tcPr>
                  <w:tcW w:type="dxa" w:w="217"/>
                  <w:tcBorders>
                    <w:top w:val="single" w:color="000000" w:sz="4"/>
                    <w:left w:val="single" w:color="000000" w:sz="4"/>
                    <w:bottom w:val="single" w:color="000000" w:sz="4"/>
                    <w:right w:val="single" w:color="000000" w:sz="4"/>
                  </w:tcBorders>
                  <w:shd w:fill="FFF2CC"/>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序号</w:t>
                  </w:r>
                </w:p>
              </w:tc>
              <w:tc>
                <w:tcPr>
                  <w:tcW w:type="dxa" w:w="218"/>
                  <w:tcBorders>
                    <w:top w:val="single" w:color="000000" w:sz="4"/>
                    <w:left w:val="none" w:color="000000" w:sz="4"/>
                    <w:bottom w:val="single" w:color="000000" w:sz="4"/>
                    <w:right w:val="single" w:color="000000" w:sz="4"/>
                  </w:tcBorders>
                  <w:shd w:fill="FFF2CC"/>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类别</w:t>
                  </w:r>
                </w:p>
              </w:tc>
              <w:tc>
                <w:tcPr>
                  <w:tcW w:type="dxa" w:w="321"/>
                  <w:tcBorders>
                    <w:top w:val="single" w:color="000000" w:sz="4"/>
                    <w:left w:val="none" w:color="000000" w:sz="4"/>
                    <w:bottom w:val="single" w:color="000000" w:sz="4"/>
                    <w:right w:val="single" w:color="000000" w:sz="4"/>
                  </w:tcBorders>
                  <w:shd w:fill="FFF2CC"/>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名称</w:t>
                  </w:r>
                </w:p>
              </w:tc>
              <w:tc>
                <w:tcPr>
                  <w:tcW w:type="dxa" w:w="278"/>
                  <w:tcBorders>
                    <w:top w:val="single" w:color="000000" w:sz="4"/>
                    <w:left w:val="none" w:color="000000" w:sz="4"/>
                    <w:bottom w:val="single" w:color="000000" w:sz="4"/>
                    <w:right w:val="single" w:color="000000" w:sz="4"/>
                  </w:tcBorders>
                  <w:shd w:fill="FFF2CC"/>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模块说明</w:t>
                  </w:r>
                </w:p>
              </w:tc>
              <w:tc>
                <w:tcPr>
                  <w:tcW w:type="dxa" w:w="1145"/>
                  <w:tcBorders>
                    <w:top w:val="single" w:color="000000" w:sz="4"/>
                    <w:left w:val="none" w:color="000000" w:sz="4"/>
                    <w:bottom w:val="single" w:color="000000" w:sz="4"/>
                    <w:right w:val="single" w:color="000000" w:sz="4"/>
                  </w:tcBorders>
                  <w:shd w:fill="FFF2CC"/>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产品参数</w:t>
                  </w:r>
                </w:p>
              </w:tc>
              <w:tc>
                <w:tcPr>
                  <w:tcW w:type="dxa" w:w="171"/>
                  <w:tcBorders>
                    <w:top w:val="single" w:color="000000" w:sz="4"/>
                    <w:left w:val="none" w:color="000000" w:sz="4"/>
                    <w:bottom w:val="single" w:color="000000" w:sz="4"/>
                    <w:right w:val="single" w:color="000000" w:sz="4"/>
                  </w:tcBorders>
                  <w:shd w:fill="FFF2CC"/>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单位</w:t>
                  </w:r>
                </w:p>
              </w:tc>
              <w:tc>
                <w:tcPr>
                  <w:tcW w:type="dxa" w:w="204"/>
                  <w:tcBorders>
                    <w:top w:val="single" w:color="000000" w:sz="4"/>
                    <w:left w:val="none" w:color="000000" w:sz="4"/>
                    <w:bottom w:val="single" w:color="000000" w:sz="4"/>
                    <w:right w:val="single" w:color="000000" w:sz="4"/>
                  </w:tcBorders>
                  <w:shd w:fill="FFF2CC"/>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数量</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1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硬件设备</w:t>
                  </w:r>
                </w:p>
              </w:tc>
              <w:tc>
                <w:tcPr>
                  <w:tcW w:type="dxa" w:w="32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客流统计人脸识别抓拍机</w:t>
                  </w:r>
                </w:p>
              </w:tc>
              <w:tc>
                <w:tcPr>
                  <w:tcW w:type="dxa" w:w="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配套硬件</w:t>
                  </w:r>
                </w:p>
              </w:tc>
              <w:tc>
                <w:tcPr>
                  <w:tcW w:type="dxa" w:w="1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800万双光AI筒型摄像机：支持1 TOPS算力;支持多算法切换、行为分析、人群态势分析、目标、人体、机非人、车辆、车辆事件检测、交通数据统计;支持背光自适应、透雾自适应;采用1/1.8"CMOS；</w:t>
                  </w:r>
                  <w:r>
                    <w:br/>
                  </w:r>
                  <w:r>
                    <w:rPr>
                      <w:rFonts w:ascii="仿宋_GB2312" w:hAnsi="仿宋_GB2312" w:cs="仿宋_GB2312" w:eastAsia="仿宋_GB2312"/>
                      <w:sz w:val="18"/>
                      <w:color w:val="000000"/>
                    </w:rPr>
                    <w:t>软件定义，支持算法在线加载与升级；</w:t>
                  </w:r>
                  <w:r>
                    <w:br/>
                  </w:r>
                  <w:r>
                    <w:rPr>
                      <w:rFonts w:ascii="仿宋_GB2312" w:hAnsi="仿宋_GB2312" w:cs="仿宋_GB2312" w:eastAsia="仿宋_GB2312"/>
                      <w:sz w:val="18"/>
                      <w:color w:val="000000"/>
                    </w:rPr>
                    <w:t>≥</w:t>
                  </w:r>
                  <w:r>
                    <w:rPr>
                      <w:rFonts w:ascii="仿宋_GB2312" w:hAnsi="仿宋_GB2312" w:cs="仿宋_GB2312" w:eastAsia="仿宋_GB2312"/>
                      <w:sz w:val="18"/>
                      <w:color w:val="000000"/>
                    </w:rPr>
                    <w:t>120db超级宽动态，强反差场景还原真实细节；支持多算法切换。</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31</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218"/>
                  <w:vMerge/>
                  <w:tcBorders>
                    <w:top w:val="none" w:color="000000" w:sz="4"/>
                    <w:left w:val="none" w:color="000000" w:sz="4"/>
                    <w:bottom w:val="single" w:color="000000" w:sz="4"/>
                    <w:right w:val="single" w:color="000000" w:sz="4"/>
                  </w:tcBorders>
                </w:tcPr>
                <w:p/>
              </w:tc>
              <w:tc>
                <w:tcPr>
                  <w:tcW w:type="dxa" w:w="32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高清核验摄像机</w:t>
                  </w:r>
                </w:p>
              </w:tc>
              <w:tc>
                <w:tcPr>
                  <w:tcW w:type="dxa" w:w="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配套硬件</w:t>
                  </w:r>
                </w:p>
              </w:tc>
              <w:tc>
                <w:tcPr>
                  <w:tcW w:type="dxa" w:w="1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1.</w:t>
                  </w:r>
                  <w:r>
                    <w:rPr>
                      <w:rFonts w:ascii="仿宋_GB2312" w:hAnsi="仿宋_GB2312" w:cs="仿宋_GB2312" w:eastAsia="仿宋_GB2312"/>
                      <w:sz w:val="18"/>
                      <w:color w:val="000000"/>
                    </w:rPr>
                    <w:t>≥</w:t>
                  </w:r>
                  <w:r>
                    <w:rPr>
                      <w:rFonts w:ascii="仿宋_GB2312" w:hAnsi="仿宋_GB2312" w:cs="仿宋_GB2312" w:eastAsia="仿宋_GB2312"/>
                      <w:sz w:val="18"/>
                      <w:color w:val="000000"/>
                    </w:rPr>
                    <w:t>500万筒型摄像机；</w:t>
                  </w:r>
                </w:p>
                <w:p>
                  <w:pPr>
                    <w:pStyle w:val="null3"/>
                    <w:jc w:val="left"/>
                  </w:pPr>
                  <w:r>
                    <w:rPr>
                      <w:rFonts w:ascii="仿宋_GB2312" w:hAnsi="仿宋_GB2312" w:cs="仿宋_GB2312" w:eastAsia="仿宋_GB2312"/>
                      <w:sz w:val="18"/>
                      <w:color w:val="000000"/>
                    </w:rPr>
                    <w:t>2.图像传感器</w:t>
                  </w:r>
                  <w:r>
                    <w:rPr>
                      <w:rFonts w:ascii="仿宋_GB2312" w:hAnsi="仿宋_GB2312" w:cs="仿宋_GB2312" w:eastAsia="仿宋_GB2312"/>
                      <w:sz w:val="18"/>
                      <w:color w:val="000000"/>
                    </w:rPr>
                    <w:t>支持</w:t>
                  </w:r>
                  <w:r>
                    <w:rPr>
                      <w:rFonts w:ascii="仿宋_GB2312" w:hAnsi="仿宋_GB2312" w:cs="仿宋_GB2312" w:eastAsia="仿宋_GB2312"/>
                      <w:sz w:val="18"/>
                      <w:color w:val="000000"/>
                    </w:rPr>
                    <w:t>1/2.7''N500万像素逐行扫描CMOS；</w:t>
                  </w:r>
                </w:p>
                <w:p>
                  <w:pPr>
                    <w:pStyle w:val="null3"/>
                    <w:jc w:val="left"/>
                  </w:pPr>
                  <w:r>
                    <w:rPr>
                      <w:rFonts w:ascii="仿宋_GB2312" w:hAnsi="仿宋_GB2312" w:cs="仿宋_GB2312" w:eastAsia="仿宋_GB2312"/>
                      <w:sz w:val="18"/>
                      <w:color w:val="000000"/>
                    </w:rPr>
                    <w:t>3.处理器内置CPU、GPU、NPU一体化国产芯片；</w:t>
                  </w:r>
                </w:p>
                <w:p>
                  <w:pPr>
                    <w:pStyle w:val="null3"/>
                    <w:jc w:val="left"/>
                  </w:pPr>
                  <w:r>
                    <w:rPr>
                      <w:rFonts w:ascii="仿宋_GB2312" w:hAnsi="仿宋_GB2312" w:cs="仿宋_GB2312" w:eastAsia="仿宋_GB2312"/>
                      <w:sz w:val="18"/>
                      <w:color w:val="000000"/>
                    </w:rPr>
                    <w:t>4.最低照度彩色：0.015Lux (F1.2,AGC ON,1/30快门)黑白：0.0075Lux(F1.2,AGC ON,1/30快门)；</w:t>
                  </w:r>
                </w:p>
                <w:p>
                  <w:pPr>
                    <w:pStyle w:val="null3"/>
                    <w:jc w:val="left"/>
                  </w:pPr>
                  <w:r>
                    <w:rPr>
                      <w:rFonts w:ascii="仿宋_GB2312" w:hAnsi="仿宋_GB2312" w:cs="仿宋_GB2312" w:eastAsia="仿宋_GB2312"/>
                      <w:sz w:val="18"/>
                      <w:color w:val="000000"/>
                    </w:rPr>
                    <w:t>5.镜头内置电动变焦镜头，焦距范围</w:t>
                  </w:r>
                  <w:r>
                    <w:rPr>
                      <w:rFonts w:ascii="仿宋_GB2312" w:hAnsi="仿宋_GB2312" w:cs="仿宋_GB2312" w:eastAsia="仿宋_GB2312"/>
                      <w:sz w:val="18"/>
                      <w:color w:val="000000"/>
                    </w:rPr>
                    <w:t>≥</w:t>
                  </w:r>
                  <w:r>
                    <w:rPr>
                      <w:rFonts w:ascii="仿宋_GB2312" w:hAnsi="仿宋_GB2312" w:cs="仿宋_GB2312" w:eastAsia="仿宋_GB2312"/>
                      <w:sz w:val="18"/>
                      <w:color w:val="000000"/>
                    </w:rPr>
                    <w:t>2.8-12mm；</w:t>
                  </w:r>
                </w:p>
                <w:p>
                  <w:pPr>
                    <w:pStyle w:val="null3"/>
                    <w:jc w:val="left"/>
                  </w:pPr>
                  <w:r>
                    <w:rPr>
                      <w:rFonts w:ascii="仿宋_GB2312" w:hAnsi="仿宋_GB2312" w:cs="仿宋_GB2312" w:eastAsia="仿宋_GB2312"/>
                      <w:sz w:val="18"/>
                      <w:color w:val="000000"/>
                    </w:rPr>
                    <w:t>6.补光补光距离</w:t>
                  </w:r>
                  <w:r>
                    <w:rPr>
                      <w:rFonts w:ascii="仿宋_GB2312" w:hAnsi="仿宋_GB2312" w:cs="仿宋_GB2312" w:eastAsia="仿宋_GB2312"/>
                      <w:sz w:val="18"/>
                      <w:color w:val="000000"/>
                    </w:rPr>
                    <w:t>≥</w:t>
                  </w:r>
                  <w:r>
                    <w:rPr>
                      <w:rFonts w:ascii="仿宋_GB2312" w:hAnsi="仿宋_GB2312" w:cs="仿宋_GB2312" w:eastAsia="仿宋_GB2312"/>
                      <w:sz w:val="18"/>
                      <w:color w:val="000000"/>
                    </w:rPr>
                    <w:t>20m。</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218"/>
                  <w:vMerge/>
                  <w:tcBorders>
                    <w:top w:val="none" w:color="000000" w:sz="4"/>
                    <w:left w:val="none" w:color="000000" w:sz="4"/>
                    <w:bottom w:val="single" w:color="000000" w:sz="4"/>
                    <w:right w:val="single" w:color="000000" w:sz="4"/>
                  </w:tcBorders>
                </w:tcPr>
                <w:p/>
              </w:tc>
              <w:tc>
                <w:tcPr>
                  <w:tcW w:type="dxa" w:w="32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监控硬盘</w:t>
                  </w:r>
                </w:p>
              </w:tc>
              <w:tc>
                <w:tcPr>
                  <w:tcW w:type="dxa" w:w="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配套硬件</w:t>
                  </w:r>
                </w:p>
              </w:tc>
              <w:tc>
                <w:tcPr>
                  <w:tcW w:type="dxa" w:w="1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容量</w:t>
                  </w:r>
                  <w:r>
                    <w:rPr>
                      <w:rFonts w:ascii="仿宋_GB2312" w:hAnsi="仿宋_GB2312" w:cs="仿宋_GB2312" w:eastAsia="仿宋_GB2312"/>
                      <w:sz w:val="18"/>
                      <w:color w:val="000000"/>
                    </w:rPr>
                    <w:t>≥4T</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块</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218"/>
                  <w:vMerge/>
                  <w:tcBorders>
                    <w:top w:val="none" w:color="000000" w:sz="4"/>
                    <w:left w:val="none" w:color="000000" w:sz="4"/>
                    <w:bottom w:val="single" w:color="000000" w:sz="4"/>
                    <w:right w:val="single" w:color="000000" w:sz="4"/>
                  </w:tcBorders>
                </w:tcPr>
                <w:p/>
              </w:tc>
              <w:tc>
                <w:tcPr>
                  <w:tcW w:type="dxa" w:w="32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21寸显示器</w:t>
                  </w:r>
                </w:p>
              </w:tc>
              <w:tc>
                <w:tcPr>
                  <w:tcW w:type="dxa" w:w="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配套硬件</w:t>
                  </w:r>
                </w:p>
              </w:tc>
              <w:tc>
                <w:tcPr>
                  <w:tcW w:type="dxa" w:w="1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屏幕分辨率</w:t>
                  </w:r>
                  <w:r>
                    <w:rPr>
                      <w:rFonts w:ascii="仿宋_GB2312" w:hAnsi="仿宋_GB2312" w:cs="仿宋_GB2312" w:eastAsia="仿宋_GB2312"/>
                      <w:sz w:val="18"/>
                      <w:color w:val="000000"/>
                    </w:rPr>
                    <w:t>≥1920×1080像素。</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218"/>
                  <w:vMerge/>
                  <w:tcBorders>
                    <w:top w:val="none" w:color="000000" w:sz="4"/>
                    <w:left w:val="none" w:color="000000" w:sz="4"/>
                    <w:bottom w:val="single" w:color="000000" w:sz="4"/>
                    <w:right w:val="single" w:color="000000" w:sz="4"/>
                  </w:tcBorders>
                </w:tcPr>
                <w:p/>
              </w:tc>
              <w:tc>
                <w:tcPr>
                  <w:tcW w:type="dxa" w:w="32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高清网络存储主机</w:t>
                  </w:r>
                </w:p>
              </w:tc>
              <w:tc>
                <w:tcPr>
                  <w:tcW w:type="dxa" w:w="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配套硬件</w:t>
                  </w:r>
                </w:p>
              </w:tc>
              <w:tc>
                <w:tcPr>
                  <w:tcW w:type="dxa" w:w="1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w:t>
                  </w:r>
                  <w:r>
                    <w:rPr>
                      <w:rFonts w:ascii="仿宋_GB2312" w:hAnsi="仿宋_GB2312" w:cs="仿宋_GB2312" w:eastAsia="仿宋_GB2312"/>
                      <w:sz w:val="18"/>
                      <w:color w:val="000000"/>
                    </w:rPr>
                    <w:t>网络视频输入</w:t>
                  </w:r>
                  <w:r>
                    <w:rPr>
                      <w:rFonts w:ascii="仿宋_GB2312" w:hAnsi="仿宋_GB2312" w:cs="仿宋_GB2312" w:eastAsia="仿宋_GB2312"/>
                      <w:sz w:val="18"/>
                      <w:color w:val="000000"/>
                    </w:rPr>
                    <w:t>≥16路；</w:t>
                  </w:r>
                </w:p>
                <w:p>
                  <w:pPr>
                    <w:pStyle w:val="null3"/>
                    <w:jc w:val="left"/>
                  </w:pPr>
                  <w:r>
                    <w:rPr>
                      <w:rFonts w:ascii="仿宋_GB2312" w:hAnsi="仿宋_GB2312" w:cs="仿宋_GB2312" w:eastAsia="仿宋_GB2312"/>
                      <w:sz w:val="18"/>
                      <w:color w:val="000000"/>
                    </w:rPr>
                    <w:t>2.行为分析支持华为SDC智能事件联动：移动侦测、区域入侵、绊线 检测、音频异常、视频遮挡、进入/离开区域、快速移动、徘徊检测、过线计数、排队长度、区域人数统计、口罩识别检测。</w:t>
                  </w:r>
                </w:p>
                <w:p>
                  <w:pPr>
                    <w:pStyle w:val="null3"/>
                    <w:jc w:val="left"/>
                  </w:pPr>
                  <w:r>
                    <w:rPr>
                      <w:rFonts w:ascii="仿宋_GB2312" w:hAnsi="仿宋_GB2312" w:cs="仿宋_GB2312" w:eastAsia="仿宋_GB2312"/>
                      <w:sz w:val="18"/>
                      <w:color w:val="000000"/>
                    </w:rPr>
                    <w:t>3.录像回放多路同步回放：支持16路多倍速回放：支持×l/16、l×/8 、×l/4、×l/2速度慢进回放操作，支持×2、×4、×8、×l6速度快进回放操作,帧进播放。</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w:t>
                  </w:r>
                </w:p>
              </w:tc>
              <w:tc>
                <w:tcPr>
                  <w:tcW w:type="dxa" w:w="21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辅材</w:t>
                  </w:r>
                </w:p>
              </w:tc>
              <w:tc>
                <w:tcPr>
                  <w:tcW w:type="dxa" w:w="32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8口千兆交换机</w:t>
                  </w:r>
                </w:p>
              </w:tc>
              <w:tc>
                <w:tcPr>
                  <w:tcW w:type="dxa" w:w="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配套硬件</w:t>
                  </w:r>
                </w:p>
              </w:tc>
              <w:tc>
                <w:tcPr>
                  <w:tcW w:type="dxa" w:w="1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网络标准</w:t>
                  </w:r>
                  <w:r>
                    <w:rPr>
                      <w:rFonts w:ascii="仿宋_GB2312" w:hAnsi="仿宋_GB2312" w:cs="仿宋_GB2312" w:eastAsia="仿宋_GB2312"/>
                      <w:sz w:val="18"/>
                      <w:color w:val="000000"/>
                    </w:rPr>
                    <w:t>IEEE802.3、IEEE802.3u、IEEE802.3ab、IEEE802.3x；</w:t>
                  </w:r>
                  <w:r>
                    <w:rPr>
                      <w:rFonts w:ascii="仿宋_GB2312" w:hAnsi="仿宋_GB2312" w:cs="仿宋_GB2312" w:eastAsia="仿宋_GB2312"/>
                      <w:sz w:val="18"/>
                      <w:color w:val="000000"/>
                    </w:rPr>
                    <w:t>≥</w:t>
                  </w:r>
                  <w:r>
                    <w:rPr>
                      <w:rFonts w:ascii="仿宋_GB2312" w:hAnsi="仿宋_GB2312" w:cs="仿宋_GB2312" w:eastAsia="仿宋_GB2312"/>
                      <w:sz w:val="18"/>
                      <w:color w:val="000000"/>
                    </w:rPr>
                    <w:t>8个 10/100/1000BASE-T 以太网端口，</w:t>
                  </w:r>
                  <w:r>
                    <w:rPr>
                      <w:rFonts w:ascii="仿宋_GB2312" w:hAnsi="仿宋_GB2312" w:cs="仿宋_GB2312" w:eastAsia="仿宋_GB2312"/>
                      <w:sz w:val="18"/>
                      <w:color w:val="000000"/>
                    </w:rPr>
                    <w:t>≥</w:t>
                  </w:r>
                  <w:r>
                    <w:rPr>
                      <w:rFonts w:ascii="仿宋_GB2312" w:hAnsi="仿宋_GB2312" w:cs="仿宋_GB2312" w:eastAsia="仿宋_GB2312"/>
                      <w:sz w:val="18"/>
                      <w:color w:val="000000"/>
                    </w:rPr>
                    <w:t>4个千兆 SFP；交流供电包转发率：27/102Mpps；</w:t>
                  </w:r>
                </w:p>
                <w:p>
                  <w:pPr>
                    <w:pStyle w:val="null3"/>
                    <w:jc w:val="left"/>
                  </w:pPr>
                  <w:r>
                    <w:rPr>
                      <w:rFonts w:ascii="仿宋_GB2312" w:hAnsi="仿宋_GB2312" w:cs="仿宋_GB2312" w:eastAsia="仿宋_GB2312"/>
                      <w:sz w:val="18"/>
                      <w:color w:val="000000"/>
                    </w:rPr>
                    <w:t>交换容量：</w:t>
                  </w:r>
                  <w:r>
                    <w:rPr>
                      <w:rFonts w:ascii="仿宋_GB2312" w:hAnsi="仿宋_GB2312" w:cs="仿宋_GB2312" w:eastAsia="仿宋_GB2312"/>
                      <w:sz w:val="18"/>
                      <w:color w:val="000000"/>
                    </w:rPr>
                    <w:t>336Gbps/3.36Tbps</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26</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w:t>
                  </w:r>
                </w:p>
              </w:tc>
              <w:tc>
                <w:tcPr>
                  <w:tcW w:type="dxa" w:w="218"/>
                  <w:vMerge/>
                  <w:tcBorders>
                    <w:top w:val="none" w:color="000000" w:sz="4"/>
                    <w:left w:val="none" w:color="000000" w:sz="4"/>
                    <w:bottom w:val="single" w:color="000000" w:sz="4"/>
                    <w:right w:val="single" w:color="000000" w:sz="4"/>
                  </w:tcBorders>
                </w:tcPr>
                <w:p/>
              </w:tc>
              <w:tc>
                <w:tcPr>
                  <w:tcW w:type="dxa" w:w="32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无线网桥</w:t>
                  </w:r>
                </w:p>
              </w:tc>
              <w:tc>
                <w:tcPr>
                  <w:tcW w:type="dxa" w:w="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配套硬件</w:t>
                  </w:r>
                </w:p>
              </w:tc>
              <w:tc>
                <w:tcPr>
                  <w:tcW w:type="dxa" w:w="1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传输距离</w:t>
                  </w:r>
                  <w:r>
                    <w:rPr>
                      <w:rFonts w:ascii="仿宋_GB2312" w:hAnsi="仿宋_GB2312" w:cs="仿宋_GB2312" w:eastAsia="仿宋_GB2312"/>
                      <w:sz w:val="18"/>
                      <w:color w:val="000000"/>
                    </w:rPr>
                    <w:t>≥</w:t>
                  </w:r>
                  <w:r>
                    <w:rPr>
                      <w:rFonts w:ascii="仿宋_GB2312" w:hAnsi="仿宋_GB2312" w:cs="仿宋_GB2312" w:eastAsia="仿宋_GB2312"/>
                      <w:sz w:val="18"/>
                      <w:color w:val="000000"/>
                    </w:rPr>
                    <w:t>5KM；支持无线速率5G：867M</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对</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w:t>
                  </w:r>
                </w:p>
              </w:tc>
              <w:tc>
                <w:tcPr>
                  <w:tcW w:type="dxa" w:w="218"/>
                  <w:vMerge/>
                  <w:tcBorders>
                    <w:top w:val="none" w:color="000000" w:sz="4"/>
                    <w:left w:val="none" w:color="000000" w:sz="4"/>
                    <w:bottom w:val="single" w:color="000000" w:sz="4"/>
                    <w:right w:val="single" w:color="000000" w:sz="4"/>
                  </w:tcBorders>
                </w:tcPr>
                <w:p/>
              </w:tc>
              <w:tc>
                <w:tcPr>
                  <w:tcW w:type="dxa" w:w="32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监控立杆</w:t>
                  </w:r>
                </w:p>
              </w:tc>
              <w:tc>
                <w:tcPr>
                  <w:tcW w:type="dxa" w:w="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配套硬件</w:t>
                  </w:r>
                </w:p>
              </w:tc>
              <w:tc>
                <w:tcPr>
                  <w:tcW w:type="dxa" w:w="1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定制；高度：</w:t>
                  </w:r>
                  <w:r>
                    <w:rPr>
                      <w:rFonts w:ascii="仿宋_GB2312" w:hAnsi="仿宋_GB2312" w:cs="仿宋_GB2312" w:eastAsia="仿宋_GB2312"/>
                      <w:sz w:val="18"/>
                      <w:color w:val="000000"/>
                    </w:rPr>
                    <w:t>3米。</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根</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w:t>
                  </w:r>
                </w:p>
              </w:tc>
              <w:tc>
                <w:tcPr>
                  <w:tcW w:type="dxa" w:w="218"/>
                  <w:vMerge/>
                  <w:tcBorders>
                    <w:top w:val="none" w:color="000000" w:sz="4"/>
                    <w:left w:val="none" w:color="000000" w:sz="4"/>
                    <w:bottom w:val="single" w:color="000000" w:sz="4"/>
                    <w:right w:val="single" w:color="000000" w:sz="4"/>
                  </w:tcBorders>
                </w:tcPr>
                <w:p/>
              </w:tc>
              <w:tc>
                <w:tcPr>
                  <w:tcW w:type="dxa" w:w="32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光电转换器</w:t>
                  </w:r>
                </w:p>
              </w:tc>
              <w:tc>
                <w:tcPr>
                  <w:tcW w:type="dxa" w:w="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配套硬件</w:t>
                  </w:r>
                </w:p>
              </w:tc>
              <w:tc>
                <w:tcPr>
                  <w:tcW w:type="dxa" w:w="1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1个10/100/1000Mbps自适应RJ45电口，1个1000Mbps SC光口，最大传输距离3kM，非网管型光纤收发器</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对</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c>
                <w:tcPr>
                  <w:tcW w:type="dxa" w:w="218"/>
                  <w:vMerge/>
                  <w:tcBorders>
                    <w:top w:val="none" w:color="000000" w:sz="4"/>
                    <w:left w:val="none" w:color="000000" w:sz="4"/>
                    <w:bottom w:val="single" w:color="000000" w:sz="4"/>
                    <w:right w:val="single" w:color="000000" w:sz="4"/>
                  </w:tcBorders>
                </w:tcPr>
                <w:p/>
              </w:tc>
              <w:tc>
                <w:tcPr>
                  <w:tcW w:type="dxa" w:w="32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太阳能板</w:t>
                  </w:r>
                </w:p>
              </w:tc>
              <w:tc>
                <w:tcPr>
                  <w:tcW w:type="dxa" w:w="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配套硬件</w:t>
                  </w:r>
                </w:p>
              </w:tc>
              <w:tc>
                <w:tcPr>
                  <w:tcW w:type="dxa" w:w="1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峰值功率</w:t>
                  </w:r>
                  <w:r>
                    <w:rPr>
                      <w:rFonts w:ascii="仿宋_GB2312" w:hAnsi="仿宋_GB2312" w:cs="仿宋_GB2312" w:eastAsia="仿宋_GB2312"/>
                      <w:sz w:val="18"/>
                      <w:color w:val="000000"/>
                    </w:rPr>
                    <w:t>≥</w:t>
                  </w:r>
                  <w:r>
                    <w:rPr>
                      <w:rFonts w:ascii="仿宋_GB2312" w:hAnsi="仿宋_GB2312" w:cs="仿宋_GB2312" w:eastAsia="仿宋_GB2312"/>
                      <w:sz w:val="18"/>
                      <w:color w:val="000000"/>
                    </w:rPr>
                    <w:t>60W；工作电压：17.2V-18V</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块</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w:t>
                  </w:r>
                </w:p>
              </w:tc>
              <w:tc>
                <w:tcPr>
                  <w:tcW w:type="dxa" w:w="218"/>
                  <w:vMerge/>
                  <w:tcBorders>
                    <w:top w:val="none" w:color="000000" w:sz="4"/>
                    <w:left w:val="none" w:color="000000" w:sz="4"/>
                    <w:bottom w:val="single" w:color="000000" w:sz="4"/>
                    <w:right w:val="single" w:color="000000" w:sz="4"/>
                  </w:tcBorders>
                </w:tcPr>
                <w:p/>
              </w:tc>
              <w:tc>
                <w:tcPr>
                  <w:tcW w:type="dxa" w:w="32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电源线</w:t>
                  </w:r>
                </w:p>
              </w:tc>
              <w:tc>
                <w:tcPr>
                  <w:tcW w:type="dxa" w:w="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硬件施工</w:t>
                  </w:r>
                </w:p>
              </w:tc>
              <w:tc>
                <w:tcPr>
                  <w:tcW w:type="dxa" w:w="1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RVV-2*1.5</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米</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3500</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w:t>
                  </w:r>
                </w:p>
              </w:tc>
              <w:tc>
                <w:tcPr>
                  <w:tcW w:type="dxa" w:w="218"/>
                  <w:vMerge/>
                  <w:tcBorders>
                    <w:top w:val="none" w:color="000000" w:sz="4"/>
                    <w:left w:val="none" w:color="000000" w:sz="4"/>
                    <w:bottom w:val="single" w:color="000000" w:sz="4"/>
                    <w:right w:val="single" w:color="000000" w:sz="4"/>
                  </w:tcBorders>
                </w:tcPr>
                <w:p/>
              </w:tc>
              <w:tc>
                <w:tcPr>
                  <w:tcW w:type="dxa" w:w="32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光纤</w:t>
                  </w:r>
                </w:p>
              </w:tc>
              <w:tc>
                <w:tcPr>
                  <w:tcW w:type="dxa" w:w="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硬件施工</w:t>
                  </w:r>
                </w:p>
              </w:tc>
              <w:tc>
                <w:tcPr>
                  <w:tcW w:type="dxa" w:w="1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外皮材质：</w:t>
                  </w:r>
                  <w:r>
                    <w:rPr>
                      <w:rFonts w:ascii="仿宋_GB2312" w:hAnsi="仿宋_GB2312" w:cs="仿宋_GB2312" w:eastAsia="仿宋_GB2312"/>
                      <w:sz w:val="18"/>
                      <w:color w:val="000000"/>
                    </w:rPr>
                    <w:t>PE护套；8芯</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米</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1000</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w:t>
                  </w:r>
                </w:p>
              </w:tc>
              <w:tc>
                <w:tcPr>
                  <w:tcW w:type="dxa" w:w="218"/>
                  <w:vMerge/>
                  <w:tcBorders>
                    <w:top w:val="none" w:color="000000" w:sz="4"/>
                    <w:left w:val="none" w:color="000000" w:sz="4"/>
                    <w:bottom w:val="single" w:color="000000" w:sz="4"/>
                    <w:right w:val="single" w:color="000000" w:sz="4"/>
                  </w:tcBorders>
                </w:tcPr>
                <w:p/>
              </w:tc>
              <w:tc>
                <w:tcPr>
                  <w:tcW w:type="dxa" w:w="32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网线</w:t>
                  </w:r>
                </w:p>
              </w:tc>
              <w:tc>
                <w:tcPr>
                  <w:tcW w:type="dxa" w:w="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硬件施工</w:t>
                  </w:r>
                </w:p>
              </w:tc>
              <w:tc>
                <w:tcPr>
                  <w:tcW w:type="dxa" w:w="1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超</w:t>
                  </w:r>
                  <w:r>
                    <w:rPr>
                      <w:rFonts w:ascii="仿宋_GB2312" w:hAnsi="仿宋_GB2312" w:cs="仿宋_GB2312" w:eastAsia="仿宋_GB2312"/>
                      <w:sz w:val="18"/>
                      <w:color w:val="000000"/>
                    </w:rPr>
                    <w:t>5类</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米</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3500</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w:t>
                  </w:r>
                </w:p>
              </w:tc>
              <w:tc>
                <w:tcPr>
                  <w:tcW w:type="dxa" w:w="218"/>
                  <w:vMerge/>
                  <w:tcBorders>
                    <w:top w:val="none" w:color="000000" w:sz="4"/>
                    <w:left w:val="none" w:color="000000" w:sz="4"/>
                    <w:bottom w:val="single" w:color="000000" w:sz="4"/>
                    <w:right w:val="single" w:color="000000" w:sz="4"/>
                  </w:tcBorders>
                </w:tcPr>
                <w:p/>
              </w:tc>
              <w:tc>
                <w:tcPr>
                  <w:tcW w:type="dxa" w:w="32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辅材</w:t>
                  </w:r>
                </w:p>
              </w:tc>
              <w:tc>
                <w:tcPr>
                  <w:tcW w:type="dxa" w:w="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硬件施工</w:t>
                  </w:r>
                </w:p>
              </w:tc>
              <w:tc>
                <w:tcPr>
                  <w:tcW w:type="dxa" w:w="1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水晶头、胶布、</w:t>
                  </w:r>
                  <w:r>
                    <w:rPr>
                      <w:rFonts w:ascii="仿宋_GB2312" w:hAnsi="仿宋_GB2312" w:cs="仿宋_GB2312" w:eastAsia="仿宋_GB2312"/>
                      <w:sz w:val="18"/>
                      <w:color w:val="000000"/>
                    </w:rPr>
                    <w:t>PVC胶、PVC线槽、尼龙扎带、膨胀螺栓、防水电源、监控支架、线管、排插、防雨设备箱等</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项</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w:t>
                  </w:r>
                </w:p>
              </w:tc>
              <w:tc>
                <w:tcPr>
                  <w:tcW w:type="dxa" w:w="53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硬件安装施工费用</w:t>
                  </w:r>
                </w:p>
              </w:tc>
              <w:tc>
                <w:tcPr>
                  <w:tcW w:type="dxa" w:w="142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项</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项目负责人1名，其它人员配备需满足本项目服务要求。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体要求详见3.2.2。且软硬件需满足国家体育总局技术规范标准《体育场馆信息化管理服务系统技术规范》及《全民健身信息服务平台数据接口规范》，并且实现数据对接国家体育总局全民健身信息服务平台、省体育局体育场馆大数据平台。</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90天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乾县</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符合国家、行业相关法律法规及采购人要求。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项目交付验收成功</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2．未按合同要求进行服务的，采购人有权终止合同，并对服务方违约行为进行追究，同时按《中华人民共和国政府采购法》的有关规定进行处罚。3．根据具体违约和争议内容协商，若协商未果，可向项目所在地人民法院诉讼解决。</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供应商需在项目电子化交易系统中按要求填写《投标函》完成承诺并进行电子签章。并提供以下证明资料： 1.具有独立承担民事责任能力的法人、其他组织或自然人，并出具合法有效的营业执照或事业单位法人证书等国家规定的相关证明，自然人参与的提供其身份证明； 2.税收缴纳证明：提供投标文件递交截止时间前一年内任意一个月的缴费凭据（依法免税的投标人应提供相关文件证明）； 3.社会保障资金缴纳证明：提供投标文件递交截止时间前一年内任意一个月的社保缴费凭据或社保机构开具的社会保险参保缴费情况证明（依法不需要缴纳社会保障资金的投标人应提供相关证明）； 4.承诺声明：提供具有履行合同所必需的设备和专业技术能力的承诺声明； 5.书面声明：提供参加政府采购活动前 3 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 供应商拒绝贿赂承诺书.docx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并提供2024年度经审计的财务报告（包括：审计报告、资产负债表、利润表、现金流量表、所有者权益变动表及其附注，财务制度、说明等）。成立时间至提交投标文件截止时间不足一年的可提供成立后任意时段的资产负债表等，或其开标前三个月内基本存款账户开户银行出具的资信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授权委托</w:t>
            </w:r>
          </w:p>
        </w:tc>
        <w:tc>
          <w:tcPr>
            <w:tcW w:type="dxa" w:w="3322"/>
          </w:tcPr>
          <w:p>
            <w:pPr>
              <w:pStyle w:val="null3"/>
            </w:pPr>
            <w:r>
              <w:rPr>
                <w:rFonts w:ascii="仿宋_GB2312" w:hAnsi="仿宋_GB2312" w:cs="仿宋_GB2312" w:eastAsia="仿宋_GB2312"/>
              </w:rPr>
              <w:t>非法人参加磋商，须出具法定代表人授权书（附法定代表人、被授权人身份证复印件）及授权代表身份证；法定代表人参加磋商的，须提供法定代表人身份证明书及身份证；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供应商不得为“信用中国”网站（www.creditchina.gov.cn）中列入失信被执行人和重大税收违法失信主体名单的供应商，不得为中国政府采购网 （www.ccgp.gov.cn）政府采购严重违法失信行为记录名单中被财政部门禁止参加政府采购活动的供应商；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企业关联声明</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单位负责人为同一人或者存在直接控股、管理关系的不同投标人，不得参加同一招标项目的投标活动。</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供应商自行编制非联合体投标说明（附在资格证明资料内），格式自拟。</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报价一览表.docx 分项报价表.docx 偏离表.docx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竞争性磋商响应文件有效期</w:t>
            </w:r>
          </w:p>
        </w:tc>
        <w:tc>
          <w:tcPr>
            <w:tcW w:type="dxa" w:w="3322"/>
          </w:tcPr>
          <w:p>
            <w:pPr>
              <w:pStyle w:val="null3"/>
            </w:pPr>
            <w:r>
              <w:rPr>
                <w:rFonts w:ascii="仿宋_GB2312" w:hAnsi="仿宋_GB2312" w:cs="仿宋_GB2312" w:eastAsia="仿宋_GB2312"/>
              </w:rPr>
              <w:t>符合竞争性磋商文件要求。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竞争性磋商响应文件签署、盖章</w:t>
            </w:r>
          </w:p>
        </w:tc>
        <w:tc>
          <w:tcPr>
            <w:tcW w:type="dxa" w:w="3322"/>
          </w:tcPr>
          <w:p>
            <w:pPr>
              <w:pStyle w:val="null3"/>
            </w:pPr>
            <w:r>
              <w:rPr>
                <w:rFonts w:ascii="仿宋_GB2312" w:hAnsi="仿宋_GB2312" w:cs="仿宋_GB2312" w:eastAsia="仿宋_GB2312"/>
              </w:rPr>
              <w:t>符合竞争性磋商文件要求。</w:t>
            </w:r>
          </w:p>
        </w:tc>
        <w:tc>
          <w:tcPr>
            <w:tcW w:type="dxa" w:w="1661"/>
          </w:tcPr>
          <w:p>
            <w:pPr>
              <w:pStyle w:val="null3"/>
            </w:pPr>
            <w:r>
              <w:rPr>
                <w:rFonts w:ascii="仿宋_GB2312" w:hAnsi="仿宋_GB2312" w:cs="仿宋_GB2312" w:eastAsia="仿宋_GB2312"/>
              </w:rPr>
              <w:t>报价一览表.docx 服务保障措施.docx 培训方案.docx 供应商类似项目业绩一览表.docx 技术性能指标配置.docx 中小企业声明函 偏离表.docx 项目实施方案.docx 响应文件封面 所投产品质量保障.docx 应急预案.docx 分项报价表.docx 供应商应提交的相关资格证明材料.docx 残疾人福利性单位声明函 供应商拒绝贿赂承诺书.docx 标的清单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投标报价符合唯一性要求、报价货币符合招标文件要求、未出现漏报、未超出采购预算和竞争性磋商文件规定的最高限价；只能有一个有效报价，不得提交选择性报价。</w:t>
            </w:r>
          </w:p>
        </w:tc>
        <w:tc>
          <w:tcPr>
            <w:tcW w:type="dxa" w:w="1661"/>
          </w:tcPr>
          <w:p>
            <w:pPr>
              <w:pStyle w:val="null3"/>
            </w:pPr>
            <w:r>
              <w:rPr>
                <w:rFonts w:ascii="仿宋_GB2312" w:hAnsi="仿宋_GB2312" w:cs="仿宋_GB2312" w:eastAsia="仿宋_GB2312"/>
              </w:rPr>
              <w:t>报价一览表.docx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满足竞争性磋商文件要求。</w:t>
            </w:r>
          </w:p>
        </w:tc>
        <w:tc>
          <w:tcPr>
            <w:tcW w:type="dxa" w:w="1661"/>
          </w:tcPr>
          <w:p>
            <w:pPr>
              <w:pStyle w:val="null3"/>
            </w:pPr>
            <w:r>
              <w:rPr>
                <w:rFonts w:ascii="仿宋_GB2312" w:hAnsi="仿宋_GB2312" w:cs="仿宋_GB2312" w:eastAsia="仿宋_GB2312"/>
              </w:rPr>
              <w:t>报价一览表.docx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关键技术参数要求</w:t>
            </w:r>
          </w:p>
        </w:tc>
        <w:tc>
          <w:tcPr>
            <w:tcW w:type="dxa" w:w="3322"/>
          </w:tcPr>
          <w:p>
            <w:pPr>
              <w:pStyle w:val="null3"/>
            </w:pPr>
            <w:r>
              <w:rPr>
                <w:rFonts w:ascii="仿宋_GB2312" w:hAnsi="仿宋_GB2312" w:cs="仿宋_GB2312" w:eastAsia="仿宋_GB2312"/>
              </w:rPr>
              <w:t>带★的为关键技术参数，属于实质性要求，不允许负偏离，否则响应无效。</w:t>
            </w:r>
          </w:p>
        </w:tc>
        <w:tc>
          <w:tcPr>
            <w:tcW w:type="dxa" w:w="1661"/>
          </w:tcPr>
          <w:p>
            <w:pPr>
              <w:pStyle w:val="null3"/>
            </w:pPr>
            <w:r>
              <w:rPr>
                <w:rFonts w:ascii="仿宋_GB2312" w:hAnsi="仿宋_GB2312" w:cs="仿宋_GB2312" w:eastAsia="仿宋_GB2312"/>
              </w:rPr>
              <w:t>技术性能指标配置.docx 偏离表.docx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技术性能指标配置（1）</w:t>
            </w:r>
          </w:p>
        </w:tc>
        <w:tc>
          <w:tcPr>
            <w:tcW w:type="dxa" w:w="2492"/>
          </w:tcPr>
          <w:p>
            <w:pPr>
              <w:pStyle w:val="null3"/>
            </w:pPr>
            <w:r>
              <w:rPr>
                <w:rFonts w:ascii="仿宋_GB2312" w:hAnsi="仿宋_GB2312" w:cs="仿宋_GB2312" w:eastAsia="仿宋_GB2312"/>
              </w:rPr>
              <w:t>供应商所投产品的工艺、安装程度、备品备件、技术规格、网络软硬件设施程度等满足磋商文件要求满分计10分；参数中技术指标每有一条负偏离扣1分，扣完为止（重要参数（★项）不允许负偏离，若出现负偏离，按无效响应处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技术性能指标配置.docx</w:t>
            </w:r>
          </w:p>
        </w:tc>
      </w:tr>
      <w:tr>
        <w:tc>
          <w:tcPr>
            <w:tcW w:type="dxa" w:w="831"/>
            <w:vMerge/>
          </w:tcPr>
          <w:p/>
        </w:tc>
        <w:tc>
          <w:tcPr>
            <w:tcW w:type="dxa" w:w="1661"/>
          </w:tcPr>
          <w:p>
            <w:pPr>
              <w:pStyle w:val="null3"/>
            </w:pPr>
            <w:r>
              <w:rPr>
                <w:rFonts w:ascii="仿宋_GB2312" w:hAnsi="仿宋_GB2312" w:cs="仿宋_GB2312" w:eastAsia="仿宋_GB2312"/>
              </w:rPr>
              <w:t>技术性能指标配置（2）</w:t>
            </w:r>
          </w:p>
        </w:tc>
        <w:tc>
          <w:tcPr>
            <w:tcW w:type="dxa" w:w="2492"/>
          </w:tcPr>
          <w:p>
            <w:pPr>
              <w:pStyle w:val="null3"/>
            </w:pPr>
            <w:r>
              <w:rPr>
                <w:rFonts w:ascii="仿宋_GB2312" w:hAnsi="仿宋_GB2312" w:cs="仿宋_GB2312" w:eastAsia="仿宋_GB2312"/>
              </w:rPr>
              <w:t>所投主要产品技术资料完整详尽，质量证明材料齐全且有效（包含但不限于认证证书、检测报告、官网截图、彩页等辅助材料）配套完善，可充分佐证产品质量，得15分；技术资料基本完整，核心技术信息无缺失，仅少量细节内容不够完善；质量证明材料核心要素齐全（含关键认证证书或检测报告），辅助材料有部分缺失，但不影响质量佐证，得8分；技术资料不够齐全，仅提供核心框架信息，细节缺失较多，且仅提供部分核心质量证明材料，辅助材料未提供，可初步佐证产品基本质量，得4分；未提供相关资料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技术性能指标配置.docx</w:t>
            </w:r>
          </w:p>
        </w:tc>
      </w:tr>
      <w:tr>
        <w:tc>
          <w:tcPr>
            <w:tcW w:type="dxa" w:w="831"/>
            <w:vMerge/>
          </w:tcPr>
          <w:p/>
        </w:tc>
        <w:tc>
          <w:tcPr>
            <w:tcW w:type="dxa" w:w="1661"/>
          </w:tcPr>
          <w:p>
            <w:pPr>
              <w:pStyle w:val="null3"/>
            </w:pPr>
            <w:r>
              <w:rPr>
                <w:rFonts w:ascii="仿宋_GB2312" w:hAnsi="仿宋_GB2312" w:cs="仿宋_GB2312" w:eastAsia="仿宋_GB2312"/>
              </w:rPr>
              <w:t>所投产品质量保证</w:t>
            </w:r>
          </w:p>
        </w:tc>
        <w:tc>
          <w:tcPr>
            <w:tcW w:type="dxa" w:w="2492"/>
          </w:tcPr>
          <w:p>
            <w:pPr>
              <w:pStyle w:val="null3"/>
            </w:pPr>
            <w:r>
              <w:rPr>
                <w:rFonts w:ascii="仿宋_GB2312" w:hAnsi="仿宋_GB2312" w:cs="仿宋_GB2312" w:eastAsia="仿宋_GB2312"/>
              </w:rPr>
              <w:t>供应商针对本项目所投产品有足够的安全、工艺、加工、检测能力，有具体可行的质量保证承诺，保证采购人能熟练操作维护和正常使用。磋商小组横向比较：1.安全、工艺、加工、检测能力证明材料齐全，内容具体、完整、全面；质量保证承诺量化可行，配套提供详细的操作维护及培训方案的，得10分；2.安全、工艺等能力证明材料基本齐全，无关键项缺失；质量保证承诺部分内容可量化；提供操作维护相关资料基本满足使用需求的，得6分；3 安全、工艺等能力说明存在欠缺，仅提供部分材料；质量保证承诺内容笼统；操作维护相关支持方案不完善，内容简略的，得3分；未提供不得分。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所投产品质量保障.docx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针对本项目组织项目实施方案，提供供货措施，保障措施可靠，能够保证按期进行安装、网站维护、测评等服务内容，具有明确的项目组织机构及实施方案： （1）备品备货、供货进度及保证措施：备品备货方案完整，可完全覆盖项目维护需求，供货进度计划详细，保证措施可靠，包含应急补货方案、逾期补救措施等，针对性强、可落地，得4分；具备基本备品备货安排，供货进度计划基本清晰，有基础保证措施，但应急方案或预警机制不够完善，可行性一般，得2分； 未提供备品备货相关方案； 供货进度计划模糊，无明确时间节点；未制定任何备品备货、供货进度的保证措施，或措施完全不可行不得分。 （2）拟投入本项目的人员安排及责任制度：人员配置完整，明确项目负责人、技术人员、维护人员等核心岗位，岗位职责划分清晰，责任制度完善，可保障项目高效推进，得3分；人员配置基本齐全，核心岗位无缺失，但岗位设置不够合理；人员分工不够清晰；有基本责任制度，可操作性一般得1.5分；未提供拟投入人员的具体安排；无明确的岗位职责划分；未制定任何责任制度，或制度与本项目无关、完全不可行，不得分。 （3）包装、运输等方面保证措施：包装运输方案科学可靠，明确运输方式，含货物损坏应急预算，能保障产品运输安全并按时送达，得3分；包装方案基本可行，运输方式和周期明确，但安全保障措施或应急预案不够完善，缺乏安全保障细节；得1.5分； 保证措施不符合国家及行业标准，或完全无法保障产品安全要求，或措施与本项目无关，不具备任何可行性，不得分。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针对本项目提供应急预案，应急方案具体可落地，步骤清晰、责任明确，具备直接执行条件，有丰富的同类项目应急处置经验，方案可实时响应、快速落地，得5分；应急方案框架可行，但部分步骤缺乏实操性，需进一步细化；有一定应急处置经验，方案具备基本实时性，可满足基础需求，得3分；应急方案模糊笼统，无具体执行步骤，不具备可实施性；无相关应急处置经验，方案无法实时响应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应急预案.docx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针对本项目提供培训方案；培训方案具体、完整、详细全面，明确培训方式、时间、地点、参训人员，培训内容贴合项目实际需求，完全具备可操作性，得3分；培训方案内容存在欠缺或薄弱项，部分要素（如培训时间、内容细节）不够明确，基本框架可行但需进一步完善，得1分；未提供培训服务方案，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培训方案.docx</w:t>
            </w:r>
          </w:p>
        </w:tc>
      </w:tr>
      <w:tr>
        <w:tc>
          <w:tcPr>
            <w:tcW w:type="dxa" w:w="831"/>
            <w:vMerge/>
          </w:tcPr>
          <w:p/>
        </w:tc>
        <w:tc>
          <w:tcPr>
            <w:tcW w:type="dxa" w:w="1661"/>
          </w:tcPr>
          <w:p>
            <w:pPr>
              <w:pStyle w:val="null3"/>
            </w:pPr>
            <w:r>
              <w:rPr>
                <w:rFonts w:ascii="仿宋_GB2312" w:hAnsi="仿宋_GB2312" w:cs="仿宋_GB2312" w:eastAsia="仿宋_GB2312"/>
              </w:rPr>
              <w:t>服务保障措施</w:t>
            </w:r>
          </w:p>
        </w:tc>
        <w:tc>
          <w:tcPr>
            <w:tcW w:type="dxa" w:w="2492"/>
          </w:tcPr>
          <w:p>
            <w:pPr>
              <w:pStyle w:val="null3"/>
            </w:pPr>
            <w:r>
              <w:rPr>
                <w:rFonts w:ascii="仿宋_GB2312" w:hAnsi="仿宋_GB2312" w:cs="仿宋_GB2312" w:eastAsia="仿宋_GB2312"/>
              </w:rPr>
              <w:t>针对本项目编制服务保障措施，（1）服务机构和服务能力：具备专业服务机构，服务团队配置齐全、能力匹配项目需求，保障措施具体可行，得3分；有基础服务机构和服务能力，配置基本满足需求，但机构团队实力说明不够详细，措施不够完善，得1分；未提供不得分；（2）售后服务综合保障：售后服务制度健全，专人负责维修+定期维护明确；服务力量充足、方案实用，维修响应时间量化，具体可落地，得4分；有基本售后服务制度，明确维修及维护安排；但部分要素（如响应时间）不够清晰，服务力量说明简略，承诺可行性一般，得2分；售后服务制度缺失，核心要素（维修、维护、响应时间等）未明确，或无相关服务承诺，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服务保障措施.docx</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供应商每提供一份2023年1月1日至今（以签订合同时间为准）类似项目业绩的得2.5分，满分10分； （注：磋商响应文件中须附加盖供应商公章的合同扫描件，否则不得分,合同原件备查）</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评审报价最低的报价为评标基准价，其价格分为满分。其他供应商的价格分统一按照下列公式计算：投标报价得分＝（有效最低报价／有效投标报价）x30的公式计算其得分。投标报价不完整的，不进入评标基准价的计算，本项得0分。经评标委员会一致认定，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其响应将被拒绝。</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报价一览表.docx</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详见附件：报价一览表.docx</w:t>
      </w:r>
    </w:p>
    <w:p>
      <w:pPr>
        <w:pStyle w:val="null3"/>
        <w:ind w:firstLine="960"/>
      </w:pPr>
      <w:r>
        <w:rPr>
          <w:rFonts w:ascii="仿宋_GB2312" w:hAnsi="仿宋_GB2312" w:cs="仿宋_GB2312" w:eastAsia="仿宋_GB2312"/>
        </w:rPr>
        <w:t>详见附件：服务保障措施.docx</w:t>
      </w:r>
    </w:p>
    <w:p>
      <w:pPr>
        <w:pStyle w:val="null3"/>
        <w:ind w:firstLine="960"/>
      </w:pPr>
      <w:r>
        <w:rPr>
          <w:rFonts w:ascii="仿宋_GB2312" w:hAnsi="仿宋_GB2312" w:cs="仿宋_GB2312" w:eastAsia="仿宋_GB2312"/>
        </w:rPr>
        <w:t>详见附件：供应商拒绝贿赂承诺书.docx</w:t>
      </w:r>
    </w:p>
    <w:p>
      <w:pPr>
        <w:pStyle w:val="null3"/>
        <w:ind w:firstLine="960"/>
      </w:pPr>
      <w:r>
        <w:rPr>
          <w:rFonts w:ascii="仿宋_GB2312" w:hAnsi="仿宋_GB2312" w:cs="仿宋_GB2312" w:eastAsia="仿宋_GB2312"/>
        </w:rPr>
        <w:t>详见附件：供应商类似项目业绩一览表.docx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详见附件：技术性能指标配置.docx</w:t>
      </w:r>
    </w:p>
    <w:p>
      <w:pPr>
        <w:pStyle w:val="null3"/>
        <w:ind w:firstLine="960"/>
      </w:pPr>
      <w:r>
        <w:rPr>
          <w:rFonts w:ascii="仿宋_GB2312" w:hAnsi="仿宋_GB2312" w:cs="仿宋_GB2312" w:eastAsia="仿宋_GB2312"/>
        </w:rPr>
        <w:t>详见附件：培训方案.docx</w:t>
      </w:r>
    </w:p>
    <w:p>
      <w:pPr>
        <w:pStyle w:val="null3"/>
        <w:ind w:firstLine="960"/>
      </w:pPr>
      <w:r>
        <w:rPr>
          <w:rFonts w:ascii="仿宋_GB2312" w:hAnsi="仿宋_GB2312" w:cs="仿宋_GB2312" w:eastAsia="仿宋_GB2312"/>
        </w:rPr>
        <w:t>详见附件：偏离表.docx</w:t>
      </w:r>
    </w:p>
    <w:p>
      <w:pPr>
        <w:pStyle w:val="null3"/>
        <w:ind w:firstLine="960"/>
      </w:pPr>
      <w:r>
        <w:rPr>
          <w:rFonts w:ascii="仿宋_GB2312" w:hAnsi="仿宋_GB2312" w:cs="仿宋_GB2312" w:eastAsia="仿宋_GB2312"/>
        </w:rPr>
        <w:t>详见附件：所投产品质量保障.docx</w:t>
      </w:r>
    </w:p>
    <w:p>
      <w:pPr>
        <w:pStyle w:val="null3"/>
        <w:ind w:firstLine="960"/>
      </w:pPr>
      <w:r>
        <w:rPr>
          <w:rFonts w:ascii="仿宋_GB2312" w:hAnsi="仿宋_GB2312" w:cs="仿宋_GB2312" w:eastAsia="仿宋_GB2312"/>
        </w:rPr>
        <w:t>详见附件：项目实施方案.docx</w:t>
      </w:r>
    </w:p>
    <w:p>
      <w:pPr>
        <w:pStyle w:val="null3"/>
        <w:ind w:firstLine="960"/>
      </w:pPr>
      <w:r>
        <w:rPr>
          <w:rFonts w:ascii="仿宋_GB2312" w:hAnsi="仿宋_GB2312" w:cs="仿宋_GB2312" w:eastAsia="仿宋_GB2312"/>
        </w:rPr>
        <w:t>详见附件：应急预案.docx</w:t>
      </w:r>
    </w:p>
    <w:p>
      <w:pPr>
        <w:pStyle w:val="null3"/>
        <w:ind w:firstLine="960"/>
      </w:pPr>
      <w:r>
        <w:rPr>
          <w:rFonts w:ascii="仿宋_GB2312" w:hAnsi="仿宋_GB2312" w:cs="仿宋_GB2312" w:eastAsia="仿宋_GB2312"/>
        </w:rPr>
        <w:t>详见附件：分项报价表.docx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详见附件：合同范本.docx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