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版本号：ZCSP-乾县-2026-0005320260323001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乾县2025年度国土变更调查工作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ZCSP-乾县-2026-00053</w:t>
      </w:r>
      <w:r>
        <w:br/>
      </w:r>
      <w:r>
        <w:br/>
      </w:r>
      <w:r>
        <w:br/>
      </w:r>
    </w:p>
    <w:p>
      <w:pPr>
        <w:pStyle w:val="null3"/>
        <w:jc w:val="center"/>
        <w:outlineLvl w:val="2"/>
      </w:pPr>
      <w:r>
        <w:rPr>
          <w:rFonts w:ascii="仿宋_GB2312" w:hAnsi="仿宋_GB2312" w:cs="仿宋_GB2312" w:eastAsia="仿宋_GB2312"/>
          <w:sz w:val="28"/>
          <w:b/>
        </w:rPr>
        <w:t>乾县自然资源局</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乾县自然资源局</w:t>
      </w:r>
      <w:r>
        <w:rPr>
          <w:rFonts w:ascii="仿宋_GB2312" w:hAnsi="仿宋_GB2312" w:cs="仿宋_GB2312" w:eastAsia="仿宋_GB2312"/>
        </w:rPr>
        <w:t>委托，拟对</w:t>
      </w:r>
      <w:r>
        <w:rPr>
          <w:rFonts w:ascii="仿宋_GB2312" w:hAnsi="仿宋_GB2312" w:cs="仿宋_GB2312" w:eastAsia="仿宋_GB2312"/>
        </w:rPr>
        <w:t>乾县2025年度国土变更调查工作</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ZCSP-乾县-2026-00053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乾县2025年度国土变更调查工作</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严格落实“全国统一领导、部局分工协作、地方分级负责、各方共同参与”的工作机制，以2024年度乾县国土变更调查成果为基础，深度协同推进国土变更调查工作，严格遵循“统一标准、统一时点、统一平台”的核心要求，全面查清2025年度县域国土利用现状、地类变化、权属变化及植被覆盖类型等资源属性变化情况，形成以2025年12月31日为标准时点的年度现状数据及完整调查成果。动态更新各级国土调查成果，夯实自然资源“一张图”建设基础，紧密衔接耕地保护、国土空间规划、生态修复、执法督察等重点工作，为乾县落实耕地数量、质量、生态三位一体保护要求，推进“林耕置换”、高标准农田建设等工作，服务县域高质量发展与国土空间治理现代化提供精准、可靠的数据支撑和技术保障，助力全省耕地保护目标落地见效。</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采购包1（乾县2025年度国土变更调查工作）：属于专门面向中小企业采购。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授权代表身份证明：供应商应授权合法的人员参加磋商全过程，其中法定代表人直接参加磋商的，须出具法定代表人身份证明及身份证复印件，并与营业执照上信息一致；法定代表人授权代表参加磋商的，须出具法定代表人授权书（附法定代表人身份证复印件、被授权人身份证复印件）和被授权人在本单位近三个月内任意一个月社会保险缴纳证明。供应商需在项目电子化交易系统中按要求上传相应证明文件并进行电子签章。</w:t>
      </w:r>
    </w:p>
    <w:p>
      <w:pPr>
        <w:pStyle w:val="null3"/>
      </w:pPr>
      <w:r>
        <w:rPr>
          <w:rFonts w:ascii="仿宋_GB2312" w:hAnsi="仿宋_GB2312" w:cs="仿宋_GB2312" w:eastAsia="仿宋_GB2312"/>
        </w:rPr>
        <w:t>2、资质证明文件：供应商须具备行政主管部门颁发的测绘乙级及以上资质；供应商需在项目电子化交易系统中按要求上传相应证明文件并进行电子签章。</w:t>
      </w:r>
    </w:p>
    <w:p>
      <w:pPr>
        <w:pStyle w:val="null3"/>
      </w:pPr>
      <w:r>
        <w:rPr>
          <w:rFonts w:ascii="仿宋_GB2312" w:hAnsi="仿宋_GB2312" w:cs="仿宋_GB2312" w:eastAsia="仿宋_GB2312"/>
        </w:rPr>
        <w:t>3、信用记录：供应商不得在“信用中国”网站(http://www.creditchina.gov.cn)被列入失信被执行人、重大税收违法失信主体；不得在“中国政府采购网” (http://www.ccgp.gov.cn) 被列入政府采购严重违法失信行为记录名单。</w:t>
      </w:r>
    </w:p>
    <w:p>
      <w:pPr>
        <w:pStyle w:val="null3"/>
      </w:pPr>
      <w:r>
        <w:rPr>
          <w:rFonts w:ascii="仿宋_GB2312" w:hAnsi="仿宋_GB2312" w:cs="仿宋_GB2312" w:eastAsia="仿宋_GB2312"/>
        </w:rPr>
        <w:t>4、非联合体磋商：供应商须提供《非联合体磋商声明函》； 供应商需在项目电子化交易系统中按要求上传相应证明文件并进行电子签章。</w:t>
      </w:r>
    </w:p>
    <w:p>
      <w:pPr>
        <w:pStyle w:val="null3"/>
      </w:pPr>
      <w:r>
        <w:rPr>
          <w:rFonts w:ascii="仿宋_GB2312" w:hAnsi="仿宋_GB2312" w:cs="仿宋_GB2312" w:eastAsia="仿宋_GB2312"/>
        </w:rPr>
        <w:t>5、供应商不得存在下列情形之一：①单位负责人为同一人或者存在控股、管理关系的不同单位，不得参加同一合同项下的政府采购活动。 ②为本项目提供整体设计、规范编制或者项目管理、监理、检测等服务的供应商，不得再参加本项目的采购活动。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乾县自然资源局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乾县东环北路8号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上宁波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13700200723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陕西省西安市雁塔区高新区科技路创业广场B座1506室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张禄洁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13720580162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采购包1：1,116,852.70元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代理服务费收费标准：参照原国家计委计价格〔2002〕1980号文、国家发改委发改办价格〔2 003〕857号文和国家发改委发改价格〔2011〕534号文规定的标准计取。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乾县自然资源局</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乾县自然资源局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乾县自然资源局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鼎正众创建设集团有限公司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1、成果要求 （1）遥感监测成果：包括遥感正射影像图、遥感监测图斑等。 （2）外业调查成果：包括外业调查图件、地物补测资料、图斑举证数据包(DB 格式)等。 （3）数据库成果：包括更新后的变更矢量数据（gdb格式）、国土调查矢量数据包括2025年度变更调查更新数据包（含增量信息与统计报表，由数据库质检软件打包生成）。 （4）各类报表：举证图斑信息表（MDB格式）、举证信息表（MDB格式）等。 （5）文字成果：包括土地利用变化情况分析报告及其他专题报告。 2、验收标准 满足采购人需求且符合现行国家及行业相关规范及标准。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联系人：张禄洁</w:t>
      </w:r>
    </w:p>
    <w:p>
      <w:pPr>
        <w:pStyle w:val="null3"/>
      </w:pPr>
      <w:r>
        <w:rPr>
          <w:rFonts w:ascii="仿宋_GB2312" w:hAnsi="仿宋_GB2312" w:cs="仿宋_GB2312" w:eastAsia="仿宋_GB2312"/>
        </w:rPr>
        <w:t>联系电话：029-88861150</w:t>
      </w:r>
    </w:p>
    <w:p>
      <w:pPr>
        <w:pStyle w:val="null3"/>
      </w:pPr>
      <w:r>
        <w:rPr>
          <w:rFonts w:ascii="仿宋_GB2312" w:hAnsi="仿宋_GB2312" w:cs="仿宋_GB2312" w:eastAsia="仿宋_GB2312"/>
        </w:rPr>
        <w:t>地址：西安市高新区科技路创业广场B座1506</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严格落实“全国统一领导、部局分工协作、地方分级负责、各方共同参与”的工作机制，以2024年度乾县国土变更调查成果为基础，深度协同推进国土变更调查工作，严格遵循“统一标准、统一时点、统一平台”的核心要求，全面查清2025年度县域国土利用现状、地类变化、权属变化及植被覆盖类型等资源属性变化情况，形成以2025年12月31日为标准时点的年度现状数据及完整调查成果。动态更新各级国土调查成果，夯实自然资源“一张图”建设基础，紧密衔接耕地保护、国土空间规划、生态修复、执法督察等重点工作，为乾县落实耕地数量、质量、生态三位一体保护要求，推进“林耕置换”、高标准农田建设等工作，服务县域高质量发展与国土空间治理现代化提供精准、可靠的数据支撑和技术保障，助力全省耕地保护目标落地见效。</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1,116,852.70</w:t>
      </w:r>
    </w:p>
    <w:p>
      <w:pPr>
        <w:pStyle w:val="null3"/>
      </w:pPr>
      <w:r>
        <w:rPr>
          <w:rFonts w:ascii="仿宋_GB2312" w:hAnsi="仿宋_GB2312" w:cs="仿宋_GB2312" w:eastAsia="仿宋_GB2312"/>
        </w:rPr>
        <w:t>采购包最高限价（元）: 1,116,852.70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乾县2025年度国土变更调查工作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1,116,852.70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标的名称：乾县2025年度国土变更调查工作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b/>
              </w:rPr>
              <w:t>一、目标任务</w:t>
            </w:r>
          </w:p>
          <w:p>
            <w:pPr>
              <w:pStyle w:val="null3"/>
              <w:ind w:firstLine="560"/>
            </w:pPr>
            <w:r>
              <w:rPr>
                <w:rFonts w:ascii="仿宋_GB2312" w:hAnsi="仿宋_GB2312" w:cs="仿宋_GB2312" w:eastAsia="仿宋_GB2312"/>
              </w:rPr>
              <w:t>（一）总体目标</w:t>
            </w:r>
          </w:p>
          <w:p>
            <w:pPr>
              <w:pStyle w:val="null3"/>
              <w:ind w:firstLine="560"/>
            </w:pPr>
            <w:r>
              <w:rPr>
                <w:rFonts w:ascii="仿宋_GB2312" w:hAnsi="仿宋_GB2312" w:cs="仿宋_GB2312" w:eastAsia="仿宋_GB2312"/>
              </w:rPr>
              <w:t>严格落实“全国统一领导、部局分工协作、地方分级负责、各方共同参与”的工作机制，以2024年度乾县国土变更调查成果为基础，深度协同推进国土变更调查工作，严格遵循“统一标准、统一时点、统一平台”的核心要求，全面查清2025年度县域国土利用现状、地类变化、权属变化及植被覆盖类型等资源属性变化情况，形成以2025年12月31日为标准时点的年度现状数据及完整调查成果。动态更新各级国土调查成果，夯实自然资源“一张图”建设基础，紧密衔接耕地保护、国土空间规划、生态修复、执法督察等重点工作，为乾县落实耕地数量、质量、生态三位一体保护要求，推进“林耕置换”、高标准农田建设等工作，服务县域高质量发展与国土空间治理现代化提供精准、可靠的数据支撑和技术保障，助力全省耕地保护目标落地见效。</w:t>
            </w:r>
          </w:p>
          <w:p>
            <w:pPr>
              <w:pStyle w:val="null3"/>
              <w:ind w:firstLine="560"/>
            </w:pPr>
            <w:r>
              <w:rPr>
                <w:rFonts w:ascii="仿宋_GB2312" w:hAnsi="仿宋_GB2312" w:cs="仿宋_GB2312" w:eastAsia="仿宋_GB2312"/>
              </w:rPr>
              <w:t>（二）具体任务</w:t>
            </w:r>
          </w:p>
          <w:p>
            <w:pPr>
              <w:pStyle w:val="null3"/>
              <w:ind w:firstLine="480"/>
            </w:pPr>
            <w:r>
              <w:rPr>
                <w:rFonts w:ascii="仿宋_GB2312" w:hAnsi="仿宋_GB2312" w:cs="仿宋_GB2312" w:eastAsia="仿宋_GB2312"/>
              </w:rPr>
              <w:t>1.规范完成调查工作底图制作，整合部下发遥感影像、用地管理信息、林草湿荒监测数据等各类基础资料，构建统一、精准、高效的县级调查工作底图，全面满足双线调查工作需求。</w:t>
            </w:r>
          </w:p>
          <w:p>
            <w:pPr>
              <w:pStyle w:val="null3"/>
              <w:ind w:firstLine="480"/>
            </w:pPr>
            <w:r>
              <w:rPr>
                <w:rFonts w:ascii="仿宋_GB2312" w:hAnsi="仿宋_GB2312" w:cs="仿宋_GB2312" w:eastAsia="仿宋_GB2312"/>
              </w:rPr>
              <w:t>2.全面开展年度变更调查工作，严格实行“动态发现、及时更新、年底汇总”的工作模式，精准查清每块变化图斑的地类、面积、属性、权属及变化原因。</w:t>
            </w:r>
          </w:p>
          <w:p>
            <w:pPr>
              <w:pStyle w:val="null3"/>
              <w:ind w:firstLine="480"/>
            </w:pPr>
            <w:r>
              <w:rPr>
                <w:rFonts w:ascii="仿宋_GB2312" w:hAnsi="仿宋_GB2312" w:cs="仿宋_GB2312" w:eastAsia="仿宋_GB2312"/>
              </w:rPr>
              <w:t>3.完成权属界线上图更新工作，紧密衔接集体土地所有权确权登记日常成果，及时更新权属界线及属性信息，确保集体土地所有权确权登记成果与国土变更调查成果保持一致，维护县域土地权属秩序。</w:t>
            </w:r>
          </w:p>
          <w:p>
            <w:pPr>
              <w:pStyle w:val="null3"/>
              <w:ind w:firstLine="480"/>
            </w:pPr>
            <w:r>
              <w:rPr>
                <w:rFonts w:ascii="仿宋_GB2312" w:hAnsi="仿宋_GB2312" w:cs="仿宋_GB2312" w:eastAsia="仿宋_GB2312"/>
              </w:rPr>
              <w:t>4.严格执行县级自检、市级复核、省级核查的三级质量管控体系，规范开展成果质量检查工作，落实数据质量终身责任制，签订数据质量承诺书，确保调查数据真实、准确、完整，坚决杜绝弄虚作假行为。</w:t>
            </w:r>
          </w:p>
          <w:p>
            <w:pPr>
              <w:pStyle w:val="null3"/>
              <w:ind w:firstLine="480"/>
            </w:pPr>
            <w:r>
              <w:rPr>
                <w:rFonts w:ascii="仿宋_GB2312" w:hAnsi="仿宋_GB2312" w:cs="仿宋_GB2312" w:eastAsia="仿宋_GB2312"/>
              </w:rPr>
              <w:t>5.完成国土调查数据库更新与数据汇总分析工作，规范编制调查工作报告、技术报告、成果分析报告等文字成果，构建完整的年度变更调查成果体系，严格按照要求逐级汇交上报。</w:t>
            </w:r>
          </w:p>
          <w:p>
            <w:pPr>
              <w:pStyle w:val="null3"/>
              <w:ind w:firstLine="480"/>
            </w:pPr>
            <w:r>
              <w:rPr>
                <w:rFonts w:ascii="仿宋_GB2312" w:hAnsi="仿宋_GB2312" w:cs="仿宋_GB2312" w:eastAsia="仿宋_GB2312"/>
              </w:rPr>
              <w:t>6.紧密衔接自然资源执法监管工作，及时推送“未批先建”“批而未建”等疑似违法违规图斑，助力遏制耕地“非农化”、严控“非粮化”，配合完成违法违规问题处置后的成果更新工作。</w:t>
            </w:r>
          </w:p>
          <w:p>
            <w:pPr>
              <w:pStyle w:val="null3"/>
            </w:pPr>
            <w:r>
              <w:rPr>
                <w:rFonts w:ascii="仿宋_GB2312" w:hAnsi="仿宋_GB2312" w:cs="仿宋_GB2312" w:eastAsia="仿宋_GB2312"/>
              </w:rPr>
              <w:t xml:space="preserve">      7.强化调查成果转化应用，推动调查成果与自然资源“一张图”深度融合，为自然资源年度监管、应急响应、城镇更新、闲置土地盘活等工作提供精准数据支撑，实现“大家查、大家用”的工作目标。</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2"/>
              <w:jc w:val="both"/>
            </w:pPr>
            <w:r>
              <w:rPr>
                <w:rFonts w:ascii="仿宋_GB2312" w:hAnsi="仿宋_GB2312" w:cs="仿宋_GB2312" w:eastAsia="仿宋_GB2312"/>
                <w:b/>
              </w:rPr>
              <w:t>二、工作依据</w:t>
            </w:r>
          </w:p>
          <w:p>
            <w:pPr>
              <w:pStyle w:val="null3"/>
              <w:ind w:firstLine="560"/>
            </w:pPr>
            <w:r>
              <w:rPr>
                <w:rFonts w:ascii="仿宋_GB2312" w:hAnsi="仿宋_GB2312" w:cs="仿宋_GB2312" w:eastAsia="仿宋_GB2312"/>
              </w:rPr>
              <w:t>1.《中华人民共和国土地管理法》《土地调查条例》《土地调查条例实施办法》（中华人民共和国自然资源部修订版）</w:t>
            </w:r>
          </w:p>
          <w:p>
            <w:pPr>
              <w:pStyle w:val="null3"/>
              <w:ind w:firstLine="560"/>
            </w:pPr>
            <w:r>
              <w:rPr>
                <w:rFonts w:ascii="仿宋_GB2312" w:hAnsi="仿宋_GB2312" w:cs="仿宋_GB2312" w:eastAsia="仿宋_GB2312"/>
              </w:rPr>
              <w:t>2.自然资源部、国家林业和草原局《2025年度全国国土变更调查实施方案》及《国土变更调查技术要求（2025年）》</w:t>
            </w:r>
          </w:p>
          <w:p>
            <w:pPr>
              <w:pStyle w:val="null3"/>
              <w:ind w:firstLine="560"/>
            </w:pPr>
            <w:r>
              <w:rPr>
                <w:rFonts w:ascii="仿宋_GB2312" w:hAnsi="仿宋_GB2312" w:cs="仿宋_GB2312" w:eastAsia="仿宋_GB2312"/>
              </w:rPr>
              <w:t>3.陕西省自然资源厅、省林业局联合印发的《2025年度省级国土变更调查及森林草原湿地荒漠调查监测实施细则》</w:t>
            </w:r>
          </w:p>
          <w:p>
            <w:pPr>
              <w:pStyle w:val="null3"/>
              <w:ind w:firstLine="560"/>
            </w:pPr>
            <w:r>
              <w:rPr>
                <w:rFonts w:ascii="仿宋_GB2312" w:hAnsi="仿宋_GB2312" w:cs="仿宋_GB2312" w:eastAsia="仿宋_GB2312"/>
              </w:rPr>
              <w:t>4.《第三次全国国土调查技术规程》（TD/T1055-2019）及省级补充技术要求</w:t>
            </w:r>
          </w:p>
          <w:p>
            <w:pPr>
              <w:pStyle w:val="null3"/>
              <w:ind w:firstLine="560"/>
            </w:pPr>
            <w:r>
              <w:rPr>
                <w:rFonts w:ascii="仿宋_GB2312" w:hAnsi="仿宋_GB2312" w:cs="仿宋_GB2312" w:eastAsia="仿宋_GB2312"/>
              </w:rPr>
              <w:t>5.咸阳市自然资源局、市林业局《2025年度国土变更调查及林草湿荒调查监测工作实施方案》及相关部署要求</w:t>
            </w:r>
          </w:p>
          <w:p>
            <w:pPr>
              <w:pStyle w:val="null3"/>
              <w:ind w:firstLine="560"/>
            </w:pPr>
            <w:r>
              <w:rPr>
                <w:rFonts w:ascii="仿宋_GB2312" w:hAnsi="仿宋_GB2312" w:cs="仿宋_GB2312" w:eastAsia="仿宋_GB2312"/>
              </w:rPr>
              <w:t>6.陕西省耕地保护“一库（区）一区”制度相关文件及耕地、永久基本农田和高标准农田一体化管理规则</w:t>
            </w:r>
          </w:p>
          <w:p>
            <w:pPr>
              <w:pStyle w:val="null3"/>
            </w:pPr>
            <w:r>
              <w:rPr>
                <w:rFonts w:ascii="仿宋_GB2312" w:hAnsi="仿宋_GB2312" w:cs="仿宋_GB2312" w:eastAsia="仿宋_GB2312"/>
              </w:rPr>
              <w:t xml:space="preserve">         7.乾县国土空间规划（2021-2035年）及相关专项规划要求。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562"/>
              <w:jc w:val="both"/>
            </w:pPr>
            <w:r>
              <w:rPr>
                <w:rFonts w:ascii="仿宋_GB2312" w:hAnsi="仿宋_GB2312" w:cs="仿宋_GB2312" w:eastAsia="仿宋_GB2312"/>
              </w:rPr>
              <w:t>三、</w:t>
            </w:r>
            <w:r>
              <w:rPr>
                <w:rFonts w:ascii="仿宋_GB2312" w:hAnsi="仿宋_GB2312" w:cs="仿宋_GB2312" w:eastAsia="仿宋_GB2312"/>
                <w:b/>
              </w:rPr>
              <w:t>工作内容</w:t>
            </w:r>
          </w:p>
          <w:p>
            <w:pPr>
              <w:pStyle w:val="null3"/>
              <w:ind w:firstLine="480"/>
              <w:jc w:val="both"/>
            </w:pPr>
            <w:r>
              <w:rPr>
                <w:rFonts w:ascii="仿宋_GB2312" w:hAnsi="仿宋_GB2312" w:cs="仿宋_GB2312" w:eastAsia="仿宋_GB2312"/>
              </w:rPr>
              <w:t>1.在乾县2024年度国土变更调查成果基础上，根据陕西省自然资源厅收集下发的2025年度遥感监测成果、各类用地管理信息及自行补充提取的土地利用变化情况，制作外业调查工作底图。以实地现状认定地类为原则，全面查清工作底图上每一块变化图斑的地类、面积、属性及单独图层信息的变化情况，对每个监测图斑进行逐一实地拍照举证。地类调查完成后结合日常变更成果，在2024年度国土调查数据库的基础上，更新乾县国土调查数据库，形成年度变更增量包，逐级上报。经市、省、国家逐级地类核查和全面检查通过后，形成乾县2025年度变更调查数据库成果。</w:t>
            </w:r>
          </w:p>
          <w:p>
            <w:pPr>
              <w:pStyle w:val="null3"/>
              <w:ind w:firstLine="482"/>
              <w:jc w:val="both"/>
            </w:pPr>
            <w:r>
              <w:rPr>
                <w:rFonts w:ascii="仿宋_GB2312" w:hAnsi="仿宋_GB2312" w:cs="仿宋_GB2312" w:eastAsia="仿宋_GB2312"/>
                <w:b/>
              </w:rPr>
              <w:t>2.预期成果</w:t>
            </w:r>
          </w:p>
          <w:p>
            <w:pPr>
              <w:pStyle w:val="null3"/>
              <w:jc w:val="both"/>
            </w:pPr>
            <w:r>
              <w:rPr>
                <w:rFonts w:ascii="仿宋_GB2312" w:hAnsi="仿宋_GB2312" w:cs="仿宋_GB2312" w:eastAsia="仿宋_GB2312"/>
              </w:rPr>
              <w:t>（1）基础成果</w:t>
            </w:r>
          </w:p>
          <w:p>
            <w:pPr>
              <w:pStyle w:val="null3"/>
              <w:ind w:firstLine="480"/>
              <w:jc w:val="both"/>
            </w:pPr>
            <w:r>
              <w:rPr>
                <w:rFonts w:ascii="仿宋_GB2312" w:hAnsi="仿宋_GB2312" w:cs="仿宋_GB2312" w:eastAsia="仿宋_GB2312"/>
              </w:rPr>
              <w:t>包括正射纠正影像成果，疑似新增建设用地图斑，疑似原耕地、园地、林地、草地等变化图斑，光伏板等特定要素信息等。</w:t>
            </w:r>
          </w:p>
          <w:p>
            <w:pPr>
              <w:pStyle w:val="null3"/>
              <w:jc w:val="both"/>
            </w:pPr>
            <w:r>
              <w:rPr>
                <w:rFonts w:ascii="仿宋_GB2312" w:hAnsi="仿宋_GB2312" w:cs="仿宋_GB2312" w:eastAsia="仿宋_GB2312"/>
              </w:rPr>
              <w:t>（2）统计成果</w:t>
            </w:r>
          </w:p>
          <w:p>
            <w:pPr>
              <w:pStyle w:val="null3"/>
              <w:ind w:firstLine="480"/>
              <w:jc w:val="both"/>
            </w:pPr>
            <w:r>
              <w:rPr>
                <w:rFonts w:ascii="仿宋_GB2312" w:hAnsi="仿宋_GB2312" w:cs="仿宋_GB2312" w:eastAsia="仿宋_GB2312"/>
              </w:rPr>
              <w:t>基于基础成果进行汇总统计形成的数据成果，包括：以县级行政区域为单元或以“三区三线”等特定区域为单元的各类统计成果。</w:t>
            </w:r>
          </w:p>
          <w:p>
            <w:pPr>
              <w:pStyle w:val="null3"/>
              <w:jc w:val="both"/>
            </w:pPr>
            <w:r>
              <w:rPr>
                <w:rFonts w:ascii="仿宋_GB2312" w:hAnsi="仿宋_GB2312" w:cs="仿宋_GB2312" w:eastAsia="仿宋_GB2312"/>
              </w:rPr>
              <w:t>（3）分析成果</w:t>
            </w:r>
          </w:p>
          <w:p>
            <w:pPr>
              <w:pStyle w:val="null3"/>
            </w:pPr>
            <w:r>
              <w:rPr>
                <w:rFonts w:ascii="仿宋_GB2312" w:hAnsi="仿宋_GB2312" w:cs="仿宋_GB2312" w:eastAsia="仿宋_GB2312"/>
              </w:rPr>
              <w:t xml:space="preserve">     根据相关监管需求，结合其他调查监测成果、管理数据和经济社会数据，通过分析形成各类图斑数据集及分析报告，包括：地类变化监测、特定要素监测。</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562"/>
              <w:jc w:val="both"/>
            </w:pPr>
            <w:r>
              <w:rPr>
                <w:rFonts w:ascii="仿宋_GB2312" w:hAnsi="仿宋_GB2312" w:cs="仿宋_GB2312" w:eastAsia="仿宋_GB2312"/>
                <w:b/>
              </w:rPr>
              <w:t>四、服务标准、期限等要求</w:t>
            </w:r>
          </w:p>
          <w:p>
            <w:pPr>
              <w:pStyle w:val="null3"/>
              <w:ind w:firstLine="560"/>
            </w:pPr>
            <w:r>
              <w:rPr>
                <w:rFonts w:ascii="仿宋_GB2312" w:hAnsi="仿宋_GB2312" w:cs="仿宋_GB2312" w:eastAsia="仿宋_GB2312"/>
              </w:rPr>
              <w:t>1.服务期限：合同签订之日起180日历天</w:t>
            </w:r>
          </w:p>
          <w:p>
            <w:pPr>
              <w:pStyle w:val="null3"/>
              <w:ind w:firstLine="560"/>
            </w:pPr>
            <w:r>
              <w:rPr>
                <w:rFonts w:ascii="仿宋_GB2312" w:hAnsi="仿宋_GB2312" w:cs="仿宋_GB2312" w:eastAsia="仿宋_GB2312"/>
              </w:rPr>
              <w:t>2.服务地点：采购人指定地点</w:t>
            </w:r>
          </w:p>
          <w:p>
            <w:pPr>
              <w:pStyle w:val="null3"/>
            </w:pPr>
            <w:r>
              <w:rPr>
                <w:rFonts w:ascii="仿宋_GB2312" w:hAnsi="仿宋_GB2312" w:cs="仿宋_GB2312" w:eastAsia="仿宋_GB2312"/>
              </w:rPr>
              <w:t xml:space="preserve">          3.服务质量标准：符合现行国家及行业相关规范及标准。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 xml:space="preserve"> </w:t>
            </w:r>
            <w:r>
              <w:rPr>
                <w:rFonts w:ascii="仿宋_GB2312" w:hAnsi="仿宋_GB2312" w:cs="仿宋_GB2312" w:eastAsia="仿宋_GB2312"/>
              </w:rPr>
              <w:t xml:space="preserve"> </w:t>
            </w:r>
            <w:r>
              <w:rPr>
                <w:rFonts w:ascii="仿宋_GB2312" w:hAnsi="仿宋_GB2312" w:cs="仿宋_GB2312" w:eastAsia="仿宋_GB2312"/>
                <w:b/>
              </w:rPr>
              <w:t>五、付款方式：</w:t>
            </w:r>
          </w:p>
          <w:p>
            <w:pPr>
              <w:pStyle w:val="null3"/>
            </w:pPr>
            <w:r>
              <w:rPr>
                <w:rFonts w:ascii="仿宋_GB2312" w:hAnsi="仿宋_GB2312" w:cs="仿宋_GB2312" w:eastAsia="仿宋_GB2312"/>
              </w:rPr>
              <w:t>本项目经市、省、国家履约验收合格后，一次性付清。中标（成交）单位必须按国家有关财税规定开具发票。</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562"/>
              <w:jc w:val="both"/>
            </w:pPr>
            <w:r>
              <w:rPr>
                <w:rFonts w:ascii="仿宋_GB2312" w:hAnsi="仿宋_GB2312" w:cs="仿宋_GB2312" w:eastAsia="仿宋_GB2312"/>
                <w:b/>
              </w:rPr>
              <w:t>六、验收标准</w:t>
            </w:r>
          </w:p>
          <w:p>
            <w:pPr>
              <w:pStyle w:val="null3"/>
              <w:ind w:firstLine="560"/>
              <w:jc w:val="both"/>
            </w:pPr>
            <w:r>
              <w:rPr>
                <w:rFonts w:ascii="仿宋_GB2312" w:hAnsi="仿宋_GB2312" w:cs="仿宋_GB2312" w:eastAsia="仿宋_GB2312"/>
              </w:rPr>
              <w:t>1、成果要求</w:t>
            </w:r>
          </w:p>
          <w:p>
            <w:pPr>
              <w:pStyle w:val="null3"/>
              <w:ind w:firstLine="560"/>
            </w:pPr>
            <w:r>
              <w:rPr>
                <w:rFonts w:ascii="仿宋_GB2312" w:hAnsi="仿宋_GB2312" w:cs="仿宋_GB2312" w:eastAsia="仿宋_GB2312"/>
              </w:rPr>
              <w:t>（1）遥感监测成果：包括遥感正射影像图、遥感监测图斑等。</w:t>
            </w:r>
          </w:p>
          <w:p>
            <w:pPr>
              <w:pStyle w:val="null3"/>
              <w:ind w:firstLine="560"/>
            </w:pPr>
            <w:r>
              <w:rPr>
                <w:rFonts w:ascii="仿宋_GB2312" w:hAnsi="仿宋_GB2312" w:cs="仿宋_GB2312" w:eastAsia="仿宋_GB2312"/>
              </w:rPr>
              <w:t>（2）外业调查成果：包括外业调查图件、地物补测资料、图斑举证数据包(DB 格式)等。</w:t>
            </w:r>
          </w:p>
          <w:p>
            <w:pPr>
              <w:pStyle w:val="null3"/>
              <w:ind w:firstLine="560"/>
            </w:pPr>
            <w:r>
              <w:rPr>
                <w:rFonts w:ascii="仿宋_GB2312" w:hAnsi="仿宋_GB2312" w:cs="仿宋_GB2312" w:eastAsia="仿宋_GB2312"/>
              </w:rPr>
              <w:t>（3）数据库成果：包括更新后的变更矢量数据（gdb格式）、国土调查矢量数据包括2025年度变更调查更新数据包（含增量信息与统计报表，由数据库质检软件打包生成）。</w:t>
            </w:r>
          </w:p>
          <w:p>
            <w:pPr>
              <w:pStyle w:val="null3"/>
              <w:ind w:firstLine="560"/>
            </w:pPr>
            <w:r>
              <w:rPr>
                <w:rFonts w:ascii="仿宋_GB2312" w:hAnsi="仿宋_GB2312" w:cs="仿宋_GB2312" w:eastAsia="仿宋_GB2312"/>
              </w:rPr>
              <w:t>（4）各类报表：举证图斑信息表（MDB格式）、举证信息表（MDB格式）等。</w:t>
            </w:r>
          </w:p>
          <w:p>
            <w:pPr>
              <w:pStyle w:val="null3"/>
              <w:ind w:firstLine="560"/>
              <w:jc w:val="both"/>
            </w:pPr>
            <w:r>
              <w:rPr>
                <w:rFonts w:ascii="仿宋_GB2312" w:hAnsi="仿宋_GB2312" w:cs="仿宋_GB2312" w:eastAsia="仿宋_GB2312"/>
              </w:rPr>
              <w:t>（5）文字成果：包括土地利用变化情况分析报告及其他专题报告。</w:t>
            </w:r>
          </w:p>
          <w:p>
            <w:pPr>
              <w:pStyle w:val="null3"/>
              <w:ind w:firstLine="560"/>
              <w:jc w:val="both"/>
            </w:pPr>
            <w:r>
              <w:rPr>
                <w:rFonts w:ascii="仿宋_GB2312" w:hAnsi="仿宋_GB2312" w:cs="仿宋_GB2312" w:eastAsia="仿宋_GB2312"/>
              </w:rPr>
              <w:t>2、验收标准</w:t>
            </w:r>
          </w:p>
          <w:p>
            <w:pPr>
              <w:pStyle w:val="null3"/>
            </w:pPr>
            <w:r>
              <w:rPr>
                <w:rFonts w:ascii="仿宋_GB2312" w:hAnsi="仿宋_GB2312" w:cs="仿宋_GB2312" w:eastAsia="仿宋_GB2312"/>
              </w:rPr>
              <w:t>满足采购人需求且符合现行国家及行业相关规范及标准。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人员配备合理满足本项目各项需求，职责分工明确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1、成果要求 （1）遥感监测成果：包括遥感正射影像图、遥感监测图斑等。 （2）外业调查成果：包括外业调查图件、地物补测资料、图斑举证数据包(DB 格式)等。 （3）数据库成果：包括更新后的变更矢量数据（gdb格式）、国土调查矢量数据包括2025年度变更调查更新数据包（含增量信息与统计报表，由数据库质检软件打包生成）。 （4）各类报表：举证图斑信息表（MDB格式）、举证信息表（MDB格式）等。 （5）文字成果：包括土地利用变化情况分析报告及其他专题报告。 2、验收标准 满足采购人需求且符合现行国家及行业相关规范及标准。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本项目经市、省、国家履约验收合格后，一次性付清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的相关条款和本合同约定，乙方未全面履行合同义务或拒绝继续履行合同义务，造成活动延误或给甲方带来经济损失，甲方有权单方终止合同，并向乙方索赔。甲方违约的，应赔偿乙方的直接经济损失。在履行本合同期间若发生争议，甲、乙双方应友好协商解决。若协商不成，任何一方均可向甲方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响应报价是供应商响应本项目要求的全部工作内容的价格体现，包括供应商完成本项目所需的人工费、设备费、管理费、利润和税金等全部费用。在提供服务的过程中的任何遗漏，均由成交供应商免费提供，采购人将不再支付任何费用。 2、采购标的对应的中小企业划分标准所属行业为其他未列明行业。其他未列明行业的划型标准为：从业人员300人以下的为中小微型企业。其中，从业人员100人及以上的为中型企业；从业人员10人及以上的为小型企业；从业人员10人以下的为微型企业。 3、本项目落实政府采购政策：（1）《政府采购促进中小企业发展管理办法》（财库〔2020〕46号）；（2）《关于进 一步加大政府采购支持中小企业力度的通知》（财库〔2022〕19号）；（3）《关于政府采购支持监狱企业发展有关问题的通知》（财库〔2014〕68号）；（4）《关于促进残疾人就业政府采购政策的通知》（财库〔2017〕141号）；（5）《财政部 发展改革委生态环境部市场监管总局关于调整优化节能产品、环境标志产品政府采购执行机制的通知》（财库 〔2019〕9 号）；（6）《关于印发环境标志产品政府采购品目清单的通知》（财库〔2019〕18号）；（7）《关于印发节能产品政府采购品目清单的通知》（财库〔2019〕19号）；（8）《财政部农业农村部国家乡村振兴局关于运用政府采购政策支持乡村产业振兴的通知》（财库〔2021〕19号）；（9）《关于深入开展政府采购脱贫地区农副产品工作推进乡村产业振兴的实施意见》（财库〔2021〕20号）；（10）《陕西省财政厅关于加快推进我省中小企业政府采购信用融资工作的通知》（陕财办采〔2020〕15号）；（11）《陕西省财政厅关于印发陕西省中小企业政府采购信用融资办法》（陕财办采 〔2018〕23号）；（12）《陕西省财政厅关于进一步加强政府绿色采购有关问题的通知》（陕财办采〔2021〕29号）； （13）《商品包装政府采购需求标准（试行）》和《快递包装政府采购需求标准（试行）》（财办库〔2020〕123号）； （14）《数据库政府采购需求标准（2023年版）》（财库〔2023〕35号）；（15）其他需要落实的政府采购政策。 4、中标（成交）供应商在中标（成交）结果公告发布后3个工作日内提供叁套纸质响应文件（经编标工具生成的文件直接打印并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（1）供应商应具有独立承担民事责任的能力，提供合法有效的营业执照；供应商需在项目电子化交易系统中按要求上传相应证明文件并进行电子签章。 （2）供应商提供2024年度经审计的财务审计报告；或提供磋商响应文件递交截止时间前三个月内基本存款账户银行出具的资信证明及基本存款账户银行相关证明资料；供应商需在项目电子化交易系统中按要求上传相应证明文件并进行电子签章。 （3）具有履行合同所必需的设备和专业技术能力书面声明函；供应商需在项目电子化交易系统中按要求上传相应证明文件并进行电子签章。 （4）供应商提供在本项目磋商响应文件递交截止时间前六个月内任意一个月的依法缴纳税收和社会保障资金的证明（依法免税或不需要缴纳社会保障资金的供应商，应提供相应文件证明其依法免税或不需要缴纳社会保障资金）；供应商需在项目电子化交易系统中按要求上传相应证明文件并进行电子签章。 （5）参加政府采购活动前3年内在经营活动中没有重大违法记录的书面声明；供应商需在项目电子化交易系统中按要求上传相应证明文件并进行电子签章。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法定代表人或授权代表身份证明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明及身份证复印件，并与营业执照上信息一致；法定代表人授权代表参加磋商的，须出具法定代表人授权书（附法定代表人身份证复印件、被授权人身份证复印件）和被授权人在本单位近三个月内任意一个月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法定代表人身份证明书.docx 法定代表人授权委托书.docx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资质证明文件</w:t>
            </w:r>
          </w:p>
        </w:tc>
        <w:tc>
          <w:tcPr>
            <w:tcW w:type="dxa" w:w="3322"/>
          </w:tcPr>
          <w:p>
            <w:pPr>
              <w:pStyle w:val="null3"/>
            </w:pPr>
            <w:r>
              <w:rPr>
                <w:rFonts w:ascii="仿宋_GB2312" w:hAnsi="仿宋_GB2312" w:cs="仿宋_GB2312" w:eastAsia="仿宋_GB2312"/>
              </w:rPr>
              <w:t>供应商须具备行政主管部门颁发的测绘乙级及以上资质；供应商需在项目电子化交易系统中按要求上传相应证明文件并进行电子签章。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供应商不得在“信用中国”网站(http://www.creditchina.gov.cn)被列入失信被执行人、重大税收违法失信主体；不得在“中国政府采购网” (http://www.ccgp.gov.cn) 被列入政府采购严重违法失信行为记录名单。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供应商须提供《非联合体磋商声明函》；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供应商不得存在下列情形之一</w:t>
            </w:r>
          </w:p>
        </w:tc>
        <w:tc>
          <w:tcPr>
            <w:tcW w:type="dxa" w:w="3322"/>
          </w:tcPr>
          <w:p>
            <w:pPr>
              <w:pStyle w:val="null3"/>
            </w:pPr>
            <w:r>
              <w:rPr>
                <w:rFonts w:ascii="仿宋_GB2312" w:hAnsi="仿宋_GB2312" w:cs="仿宋_GB2312" w:eastAsia="仿宋_GB2312"/>
              </w:rPr>
              <w:t>①单位负责人为同一人或者存在控股、管理关系的不同单位，不得参加同一合同项下的政府采购活动。 ②为本项目提供整体设计、规范编制或者项目管理、监理、检测等服务的供应商，不得再参加本项目的采购活动。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服务内容及服务邀请应答表 中小企业声明函 商务应答表 资格证明文件.docx 响应文件封面 法定代表人身份证明书.docx 残疾人福利性单位声明函 标的清单 响应函 法定代表人授权委托书.docx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服务内容及服务邀请应答表 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货币单位符合磋商文件要求，报价符合磋商文件填报要求，报价唯一，且没有超过采购预算或限价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服务内容及服务邀请应答表 中小企业声明函 商务应答表 资格证明文件.docx 响应文件封面 法定代表人身份证明书.docx 残疾人福利性单位声明函 标的清单 响应函 法定代表人授权委托书.docx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服务内容及服务邀请应答表 中小企业声明函 商务应答表 资格证明文件.docx 响应文件封面 法定代表人身份证明书.docx 残疾人福利性单位声明函 标的清单 响应函 法定代表人授权委托书.docx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对磋商文件响应</w:t>
            </w:r>
          </w:p>
        </w:tc>
        <w:tc>
          <w:tcPr>
            <w:tcW w:type="dxa" w:w="3322"/>
          </w:tcPr>
          <w:p>
            <w:pPr>
              <w:pStyle w:val="null3"/>
            </w:pPr>
            <w:r>
              <w:rPr>
                <w:rFonts w:ascii="仿宋_GB2312" w:hAnsi="仿宋_GB2312" w:cs="仿宋_GB2312" w:eastAsia="仿宋_GB2312"/>
              </w:rPr>
              <w:t>完全理解并接受对合格供应商、合格服务的要求，实质性要求完全响应且没有负偏离，不能有任何采购人不能接受的附加条件</w:t>
            </w:r>
          </w:p>
        </w:tc>
        <w:tc>
          <w:tcPr>
            <w:tcW w:type="dxa" w:w="1661"/>
          </w:tcPr>
          <w:p>
            <w:pPr>
              <w:pStyle w:val="null3"/>
            </w:pPr>
            <w:r>
              <w:rPr>
                <w:rFonts w:ascii="仿宋_GB2312" w:hAnsi="仿宋_GB2312" w:cs="仿宋_GB2312" w:eastAsia="仿宋_GB2312"/>
              </w:rPr>
              <w:t>服务内容及服务邀请应答表 商务应答表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对本项目需求的理解程度（包括项目背景、目的、任务、特点、意义等要求）。 ①有明确的项目背景； ②有清晰的工作目的； ③项目特点分析全面； ④项目意义分析全面； ⑤项目任务描述全面。 以上5项内容每项1分，切合本项目实际情况及采购要求，合理、可行、无缺陷得5分；评审内容缺一项扣1分；每项内容中每有一处存在缺陷的扣0.5分，该项分值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服务方案进行评审，包含但不限于：①技术路线；②资料收集；③外业实地调查；④内业数据处理；⑤成果编制与上报。以上5项内容每项6分，切合本项目实际情况及采购要求，合理、可行、无缺陷得30分；评审内容缺一项扣6分；每项内容中每有一处存在缺陷的扣1分，该项分值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针对本项目提供有①重点、难点分析；②重难点解决方案。以上2项内容每项3分，切合本项目实际情况及采购要求，合理、可行、无缺陷得6分；评审内容缺一项扣3分；每项内容中每有一处存在缺陷的扣0.5分，该项分值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进度控制</w:t>
            </w:r>
          </w:p>
        </w:tc>
        <w:tc>
          <w:tcPr>
            <w:tcW w:type="dxa" w:w="2492"/>
          </w:tcPr>
          <w:p>
            <w:pPr>
              <w:pStyle w:val="null3"/>
            </w:pPr>
            <w:r>
              <w:rPr>
                <w:rFonts w:ascii="仿宋_GB2312" w:hAnsi="仿宋_GB2312" w:cs="仿宋_GB2312" w:eastAsia="仿宋_GB2312"/>
              </w:rPr>
              <w:t>根据供应商对项目进度安排及措施进行评审，包括但不限于：①项目进度安排；②进度保证措施。以上2项内容每项3分，切合本项目实际情况及采购要求，合理、可行、无缺陷得6分；评审内容缺一项扣3分；每项内容中每有一处存在缺陷的扣0.5分，该项分值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供应商提供的质量控制进行评分，包含但不限于：①质量保证体系；②质量保证措施等。以上2项内容每项3分，切合本项目实际情况及采购要求，合理、可行、无缺陷得6分；评审内容缺一项扣3分；每项内容中每有一处存在缺陷的扣1分，该项分值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安全保密</w:t>
            </w:r>
          </w:p>
        </w:tc>
        <w:tc>
          <w:tcPr>
            <w:tcW w:type="dxa" w:w="2492"/>
          </w:tcPr>
          <w:p>
            <w:pPr>
              <w:pStyle w:val="null3"/>
            </w:pPr>
            <w:r>
              <w:rPr>
                <w:rFonts w:ascii="仿宋_GB2312" w:hAnsi="仿宋_GB2312" w:cs="仿宋_GB2312" w:eastAsia="仿宋_GB2312"/>
              </w:rPr>
              <w:t>针对本项目有安全保密措施，包括但不限于①档案管理措施；②数据及成果安全保密措施。以上2项内容每项3分，切合本项目实际情况及采购要求，合理、可行、无缺陷得6分；评审内容缺一项扣3分；每项内容中每有一处存在缺陷的扣0.5分，该项分值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后续服务方案包含但不限于：①后续服务响应时间和后续服务方案；②后续服务机构与人员配置。以上2项内容每项2分，切合本项目实际情况及采购要求，合理、可行、无缺陷得4分；评审内容缺一项扣2分；每项内容中每有一处存在缺陷的扣0.5分，该项分值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仪器设备</w:t>
            </w:r>
          </w:p>
        </w:tc>
        <w:tc>
          <w:tcPr>
            <w:tcW w:type="dxa" w:w="2492"/>
          </w:tcPr>
          <w:p>
            <w:pPr>
              <w:pStyle w:val="null3"/>
            </w:pPr>
            <w:r>
              <w:rPr>
                <w:rFonts w:ascii="仿宋_GB2312" w:hAnsi="仿宋_GB2312" w:cs="仿宋_GB2312" w:eastAsia="仿宋_GB2312"/>
              </w:rPr>
              <w:t>供应商拟投入本项目设备，具备无人机航测系统，得 1 分； 具备GNSS 接收机（RTK），得 1 分； 具备全站仪或高精度水准仪，得 1 分； 同一类型设备不重复计分，本项最高得 3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1、项目负责人：具有测绘及相关专业高级技术职称证书得4分；具有测绘及相关专业中级技术职称证书或注册测绘师资格证书得2分；其他不得分。 2、拟派项目组成员（除项目负责人以外）每提供1名具有测绘及相关专业初级职称证书的，得1分，每提供1名具有测绘及相关专业中级及以上职称证书或注册测绘师资格证书的，得2分，本项满分10分。 注：以上人员不重复计分；提供人员相关证书证明材料，未提供不得分。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2023年1月1日至今承接过类似项目业绩，每提供一个业绩得2分，最高得10分； 注：以响应文件中加盖公章的合同协议书为准。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价格分采用低价优先法计算，即满足竞争性磋商文件要求且最后报价最低的供应商的价格为评审基准价，其价格分为满分。其他供应商的价格分统一按照下列公式计算： 报价得分=（评审基准价/最后报价）×价格权值（即10%）×100 注：本项目为专门面向中小企业采购项目，不再执行价格评审优惠的扶持政策。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