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版本号：SXZZZB-2026（007）号20260328001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乾县2025年地膜科学使用回收项目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SXZZZB-2026（007）号</w:t>
      </w:r>
      <w:r>
        <w:br/>
      </w:r>
      <w:r>
        <w:br/>
      </w:r>
      <w:r>
        <w:br/>
      </w:r>
    </w:p>
    <w:p>
      <w:pPr>
        <w:pStyle w:val="null3"/>
        <w:jc w:val="center"/>
        <w:outlineLvl w:val="2"/>
      </w:pPr>
      <w:r>
        <w:rPr>
          <w:rFonts w:ascii="仿宋_GB2312" w:hAnsi="仿宋_GB2312" w:cs="仿宋_GB2312" w:eastAsia="仿宋_GB2312"/>
          <w:sz w:val="28"/>
          <w:b/>
        </w:rPr>
        <w:t>乾县农业农村局</w:t>
      </w:r>
    </w:p>
    <w:p>
      <w:pPr>
        <w:pStyle w:val="null3"/>
        <w:jc w:val="center"/>
        <w:outlineLvl w:val="2"/>
      </w:pPr>
      <w:r>
        <w:rPr>
          <w:rFonts w:ascii="仿宋_GB2312" w:hAnsi="仿宋_GB2312" w:cs="仿宋_GB2312" w:eastAsia="仿宋_GB2312"/>
          <w:sz w:val="28"/>
          <w:b/>
        </w:rPr>
        <w:t>陕西中正建设工程咨询服务有限公司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陕西中正建设工程咨询服务有限公司</w:t>
      </w:r>
      <w:r>
        <w:rPr>
          <w:rFonts w:ascii="仿宋_GB2312" w:hAnsi="仿宋_GB2312" w:cs="仿宋_GB2312" w:eastAsia="仿宋_GB2312"/>
        </w:rPr>
        <w:t>（以下简称“代理机构”）受</w:t>
      </w:r>
      <w:r>
        <w:rPr>
          <w:rFonts w:ascii="仿宋_GB2312" w:hAnsi="仿宋_GB2312" w:cs="仿宋_GB2312" w:eastAsia="仿宋_GB2312"/>
        </w:rPr>
        <w:t>乾县农业农村局</w:t>
      </w:r>
      <w:r>
        <w:rPr>
          <w:rFonts w:ascii="仿宋_GB2312" w:hAnsi="仿宋_GB2312" w:cs="仿宋_GB2312" w:eastAsia="仿宋_GB2312"/>
        </w:rPr>
        <w:t>委托，拟对</w:t>
      </w:r>
      <w:r>
        <w:rPr>
          <w:rFonts w:ascii="仿宋_GB2312" w:hAnsi="仿宋_GB2312" w:cs="仿宋_GB2312" w:eastAsia="仿宋_GB2312"/>
        </w:rPr>
        <w:t>乾县2025年地膜科学使用回收项目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SXZZZB-2026（007）号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乾县2025年地膜科学使用回收项目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乾县2025年地膜科学使用回收项目分3个采购包，其中采购包1为反光膜157.24吨；采购包2为全生物降解地膜 23.90吨、加厚高强度地膜111.11吨；采购包3为废旧地膜转运及处置。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采购包1（乾县2025年地膜科学使用回收项目采购包1）：属于专门面向中小企业采购。</w:t>
      </w:r>
    </w:p>
    <w:p>
      <w:pPr>
        <w:pStyle w:val="null3"/>
      </w:pPr>
      <w:r>
        <w:rPr>
          <w:rFonts w:ascii="仿宋_GB2312" w:hAnsi="仿宋_GB2312" w:cs="仿宋_GB2312" w:eastAsia="仿宋_GB2312"/>
        </w:rPr>
        <w:t>采购包2（乾县2025年地膜科学使用回收项目采购包2）：属于专门面向中小企业采购。</w:t>
      </w:r>
    </w:p>
    <w:p>
      <w:pPr>
        <w:pStyle w:val="null3"/>
      </w:pPr>
      <w:r>
        <w:rPr>
          <w:rFonts w:ascii="仿宋_GB2312" w:hAnsi="仿宋_GB2312" w:cs="仿宋_GB2312" w:eastAsia="仿宋_GB2312"/>
        </w:rPr>
        <w:t>采购包3（乾县2025年地膜科学使用回收项目采购包3）：属于专门面向中小企业采购。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身份证明/法定代表人授权委托书：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pPr>
        <w:pStyle w:val="null3"/>
      </w:pPr>
      <w:r>
        <w:rPr>
          <w:rFonts w:ascii="仿宋_GB2312" w:hAnsi="仿宋_GB2312" w:cs="仿宋_GB2312" w:eastAsia="仿宋_GB2312"/>
        </w:rPr>
        <w:t>3、财务状况报告：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pPr>
        <w:pStyle w:val="null3"/>
      </w:pPr>
      <w:r>
        <w:rPr>
          <w:rFonts w:ascii="仿宋_GB2312" w:hAnsi="仿宋_GB2312" w:cs="仿宋_GB2312" w:eastAsia="仿宋_GB2312"/>
        </w:rPr>
        <w:t>4、税收缴纳证明及社保缴纳证明：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pPr>
        <w:pStyle w:val="null3"/>
      </w:pPr>
      <w:r>
        <w:rPr>
          <w:rFonts w:ascii="仿宋_GB2312" w:hAnsi="仿宋_GB2312" w:cs="仿宋_GB2312" w:eastAsia="仿宋_GB2312"/>
        </w:rPr>
        <w:t>5、供应商“失信被执行人”及“重大税收违法失信主体”信用查询：供应商不得为“信用中国”（http://www.creditchina.gov.cn）网站或者“中国执行信息公开网”（http://zxgk.court.gov.cn/shixin/）网站“失信被执行人”和“信用中国”（http://www.creditchina.gov.cn）网站“重大税收违法失信主体”的企业。</w:t>
      </w:r>
    </w:p>
    <w:p>
      <w:pPr>
        <w:pStyle w:val="null3"/>
      </w:pPr>
      <w:r>
        <w:rPr>
          <w:rFonts w:ascii="仿宋_GB2312" w:hAnsi="仿宋_GB2312" w:cs="仿宋_GB2312" w:eastAsia="仿宋_GB2312"/>
        </w:rPr>
        <w:t>6、供应商“中国政府采购网”信用查询：供应商不得为“中国政府采购网”（www.ccgp.gov.cn）政府采购严重违法失信行为记录名单中被财政部门禁止参加政府采购活动的企业。</w:t>
      </w:r>
    </w:p>
    <w:p>
      <w:pPr>
        <w:pStyle w:val="null3"/>
      </w:pPr>
      <w:r>
        <w:rPr>
          <w:rFonts w:ascii="仿宋_GB2312" w:hAnsi="仿宋_GB2312" w:cs="仿宋_GB2312" w:eastAsia="仿宋_GB2312"/>
        </w:rPr>
        <w:t>7、履行本合同所必需的设备和专业技术能力的说明及承诺：供应商须提供具有履行本合同所必需的设备和专业技术能力的说明及承诺。</w:t>
      </w:r>
    </w:p>
    <w:p>
      <w:pPr>
        <w:pStyle w:val="null3"/>
      </w:pPr>
      <w:r>
        <w:rPr>
          <w:rFonts w:ascii="仿宋_GB2312" w:hAnsi="仿宋_GB2312" w:cs="仿宋_GB2312" w:eastAsia="仿宋_GB2312"/>
        </w:rPr>
        <w:t>8、采购活动前3年内，在经营活动中没有重大违法记录：参加政府采购活动前3年内，在经营活动中没有重大违法记录的书面声明。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9、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10、本采购包专门面向中小企业采购：本采购包专门面向中小企业采购</w:t>
      </w:r>
    </w:p>
    <w:p>
      <w:pPr>
        <w:pStyle w:val="null3"/>
      </w:pPr>
      <w:r>
        <w:rPr>
          <w:rFonts w:ascii="仿宋_GB2312" w:hAnsi="仿宋_GB2312" w:cs="仿宋_GB2312" w:eastAsia="仿宋_GB2312"/>
        </w:rPr>
        <w:t>11、本项目不接受联合体投标：非联合体投标声明。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身份证明/法定代表人授权委托书：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pPr>
        <w:pStyle w:val="null3"/>
      </w:pPr>
      <w:r>
        <w:rPr>
          <w:rFonts w:ascii="仿宋_GB2312" w:hAnsi="仿宋_GB2312" w:cs="仿宋_GB2312" w:eastAsia="仿宋_GB2312"/>
        </w:rPr>
        <w:t>3、财务状况报告：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pPr>
        <w:pStyle w:val="null3"/>
      </w:pPr>
      <w:r>
        <w:rPr>
          <w:rFonts w:ascii="仿宋_GB2312" w:hAnsi="仿宋_GB2312" w:cs="仿宋_GB2312" w:eastAsia="仿宋_GB2312"/>
        </w:rPr>
        <w:t>4、税收缴纳证明及社保缴纳证明：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pPr>
        <w:pStyle w:val="null3"/>
      </w:pPr>
      <w:r>
        <w:rPr>
          <w:rFonts w:ascii="仿宋_GB2312" w:hAnsi="仿宋_GB2312" w:cs="仿宋_GB2312" w:eastAsia="仿宋_GB2312"/>
        </w:rPr>
        <w:t>5、供应商“失信被执行人”及“重大税收违法失信主体”信用查询：供应商不得为“信用中国”（http://www.creditchina.gov.cn）网站或者“中国执行信息公开网”（http://zxgk.court.gov.cn/shixin/）网站“失信被执行人”和“信用中国”（http://www.creditchina.gov.cn）网站“重大税收违法失信主体”的企业。</w:t>
      </w:r>
    </w:p>
    <w:p>
      <w:pPr>
        <w:pStyle w:val="null3"/>
      </w:pPr>
      <w:r>
        <w:rPr>
          <w:rFonts w:ascii="仿宋_GB2312" w:hAnsi="仿宋_GB2312" w:cs="仿宋_GB2312" w:eastAsia="仿宋_GB2312"/>
        </w:rPr>
        <w:t>6、供应商“中国政府采购网”信用查询：供应商不得为“中国政府采购网”（www.ccgp.gov.cn）政府采购严重违法失信行为记录名单中被财政部门禁止参加政府采购活动的企业。</w:t>
      </w:r>
    </w:p>
    <w:p>
      <w:pPr>
        <w:pStyle w:val="null3"/>
      </w:pPr>
      <w:r>
        <w:rPr>
          <w:rFonts w:ascii="仿宋_GB2312" w:hAnsi="仿宋_GB2312" w:cs="仿宋_GB2312" w:eastAsia="仿宋_GB2312"/>
        </w:rPr>
        <w:t>7、履行本合同所必需的设备和专业技术能力的说明及承诺：供应商须提供具有履行本合同所必需的设备和专业技术能力的说明及承诺。</w:t>
      </w:r>
    </w:p>
    <w:p>
      <w:pPr>
        <w:pStyle w:val="null3"/>
      </w:pPr>
      <w:r>
        <w:rPr>
          <w:rFonts w:ascii="仿宋_GB2312" w:hAnsi="仿宋_GB2312" w:cs="仿宋_GB2312" w:eastAsia="仿宋_GB2312"/>
        </w:rPr>
        <w:t>8、采购活动前3年内，在经营活动中没有重大违法记录：参加政府采购活动前3年内，在经营活动中没有重大违法记录的书面声明。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9、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10、本采购包专门面向中小企业采购：本采购包专门面向中小企业采购</w:t>
      </w:r>
    </w:p>
    <w:p>
      <w:pPr>
        <w:pStyle w:val="null3"/>
      </w:pPr>
      <w:r>
        <w:rPr>
          <w:rFonts w:ascii="仿宋_GB2312" w:hAnsi="仿宋_GB2312" w:cs="仿宋_GB2312" w:eastAsia="仿宋_GB2312"/>
        </w:rPr>
        <w:t>11、本项目不接受联合体投标：非联合体投标声明。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身份证明/法定代表人授权委托书：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pPr>
        <w:pStyle w:val="null3"/>
      </w:pPr>
      <w:r>
        <w:rPr>
          <w:rFonts w:ascii="仿宋_GB2312" w:hAnsi="仿宋_GB2312" w:cs="仿宋_GB2312" w:eastAsia="仿宋_GB2312"/>
        </w:rPr>
        <w:t>3、财务状况报告：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pPr>
        <w:pStyle w:val="null3"/>
      </w:pPr>
      <w:r>
        <w:rPr>
          <w:rFonts w:ascii="仿宋_GB2312" w:hAnsi="仿宋_GB2312" w:cs="仿宋_GB2312" w:eastAsia="仿宋_GB2312"/>
        </w:rPr>
        <w:t>4、税收缴纳证明及社保缴纳证明：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pPr>
        <w:pStyle w:val="null3"/>
      </w:pPr>
      <w:r>
        <w:rPr>
          <w:rFonts w:ascii="仿宋_GB2312" w:hAnsi="仿宋_GB2312" w:cs="仿宋_GB2312" w:eastAsia="仿宋_GB2312"/>
        </w:rPr>
        <w:t>5、供应商“失信被执行人”及“重大税收违法失信主体”信用查询：供应商不得为“信用中国”（http://www.creditchina.gov.cn）网站或者“中国执行信息公开网”（http://zxgk.court.gov.cn/shixin/）网站“失信被执行人”和“信用中国”（http://www.creditchina.gov.cn）网站“重大税收违法失信主体”的企业。</w:t>
      </w:r>
    </w:p>
    <w:p>
      <w:pPr>
        <w:pStyle w:val="null3"/>
      </w:pPr>
      <w:r>
        <w:rPr>
          <w:rFonts w:ascii="仿宋_GB2312" w:hAnsi="仿宋_GB2312" w:cs="仿宋_GB2312" w:eastAsia="仿宋_GB2312"/>
        </w:rPr>
        <w:t>6、供应商“中国政府采购网”信用查询：供应商不得为“中国政府采购网”（www.ccgp.gov.cn）政府采购严重违法失信行为记录名单中被财政部门禁止参加政府采购活动的企业。</w:t>
      </w:r>
    </w:p>
    <w:p>
      <w:pPr>
        <w:pStyle w:val="null3"/>
      </w:pPr>
      <w:r>
        <w:rPr>
          <w:rFonts w:ascii="仿宋_GB2312" w:hAnsi="仿宋_GB2312" w:cs="仿宋_GB2312" w:eastAsia="仿宋_GB2312"/>
        </w:rPr>
        <w:t>7、履行本合同所必需的设备和专业技术能力的说明及承诺：供应商须提供具有履行本合同所必需的设备和专业技术能力的说明及承诺。</w:t>
      </w:r>
    </w:p>
    <w:p>
      <w:pPr>
        <w:pStyle w:val="null3"/>
      </w:pPr>
      <w:r>
        <w:rPr>
          <w:rFonts w:ascii="仿宋_GB2312" w:hAnsi="仿宋_GB2312" w:cs="仿宋_GB2312" w:eastAsia="仿宋_GB2312"/>
        </w:rPr>
        <w:t>8、采购活动前3年内，在经营活动中没有重大违法记录：参加政府采购活动前3年内，在经营活动中没有重大违法记录的书面声明。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9、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10、本采购包专门面向中小企业采购：本采购包专门面向中小企业采购</w:t>
      </w:r>
    </w:p>
    <w:p>
      <w:pPr>
        <w:pStyle w:val="null3"/>
      </w:pPr>
      <w:r>
        <w:rPr>
          <w:rFonts w:ascii="仿宋_GB2312" w:hAnsi="仿宋_GB2312" w:cs="仿宋_GB2312" w:eastAsia="仿宋_GB2312"/>
        </w:rPr>
        <w:t>11、本项目不接受联合体投标：非联合体投标声明。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陕西省咸阳市乾县文前巷1号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罗欢庆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029-35521661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陕西中正建设工程咨询服务有限公司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咸阳市秦都区秦皇路华泰·玉景台西2号楼17层西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程园园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029-33284252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采购包1：2,280,000.00元</w:t>
            </w:r>
          </w:p>
          <w:p>
            <w:pPr>
              <w:pStyle w:val="null3"/>
            </w:pPr>
            <w:r>
              <w:rPr>
                <w:rFonts w:ascii="仿宋_GB2312" w:hAnsi="仿宋_GB2312" w:cs="仿宋_GB2312" w:eastAsia="仿宋_GB2312"/>
              </w:rPr>
              <w:t>采购包2：2,100,000.00元</w:t>
            </w:r>
          </w:p>
          <w:p>
            <w:pPr>
              <w:pStyle w:val="null3"/>
            </w:pPr>
            <w:r>
              <w:rPr>
                <w:rFonts w:ascii="仿宋_GB2312" w:hAnsi="仿宋_GB2312" w:cs="仿宋_GB2312" w:eastAsia="仿宋_GB2312"/>
              </w:rPr>
              <w:t>采购包3：731,000.00元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项目中标价为基数，参照发改价格[2011]534号《国家发展和改革委员会关于降低部分建设项目收费标准规范收费行为等有关问题的通知》及国家计委计价格[2002]1980号《招标代理服务收费管理暂行办法》—差额定率累进法计算，按上述标准计取，由中标单位在领取中标通知书前向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乾县农业农村局</w:t>
      </w:r>
      <w:r>
        <w:rPr>
          <w:rFonts w:ascii="仿宋_GB2312" w:hAnsi="仿宋_GB2312" w:cs="仿宋_GB2312" w:eastAsia="仿宋_GB2312"/>
        </w:rPr>
        <w:t>和</w:t>
      </w:r>
      <w:r>
        <w:rPr>
          <w:rFonts w:ascii="仿宋_GB2312" w:hAnsi="仿宋_GB2312" w:cs="仿宋_GB2312" w:eastAsia="仿宋_GB2312"/>
        </w:rPr>
        <w:t>陕西中正建设工程咨询服务有限公司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陕西中正建设工程咨询服务有限公司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陕西中正建设工程咨询服务有限公司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按照合同清单、国家及行业规定进行验收。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按照合同清单、国家及行业规定进行验收。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按照合同内容、国家及行业规定进行验收。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陕西中正建设工程咨询服务有限公司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陕西中正建设工程咨询服务有限公司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陕西中正建设工程咨询服务有限公司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联系人：程园园</w:t>
      </w:r>
    </w:p>
    <w:p>
      <w:pPr>
        <w:pStyle w:val="null3"/>
      </w:pPr>
      <w:r>
        <w:rPr>
          <w:rFonts w:ascii="仿宋_GB2312" w:hAnsi="仿宋_GB2312" w:cs="仿宋_GB2312" w:eastAsia="仿宋_GB2312"/>
        </w:rPr>
        <w:t>联系电话：029-33284252</w:t>
      </w:r>
    </w:p>
    <w:p>
      <w:pPr>
        <w:pStyle w:val="null3"/>
      </w:pPr>
      <w:r>
        <w:rPr>
          <w:rFonts w:ascii="仿宋_GB2312" w:hAnsi="仿宋_GB2312" w:cs="仿宋_GB2312" w:eastAsia="仿宋_GB2312"/>
        </w:rPr>
        <w:t>地址：咸阳市秦都区秦皇路华泰·玉景台西2号楼17层西</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乾县2025年地膜科学使用回收项目分3个采购包，其中采购包1为反光膜157.24吨；采购包2为全生物降解地膜 23.90吨、加厚高强度地膜111.11吨；采购包3为废旧地膜转运及处置，具体采购需求详见采购文件。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2,280,000.00</w:t>
      </w:r>
    </w:p>
    <w:p>
      <w:pPr>
        <w:pStyle w:val="null3"/>
      </w:pPr>
      <w:r>
        <w:rPr>
          <w:rFonts w:ascii="仿宋_GB2312" w:hAnsi="仿宋_GB2312" w:cs="仿宋_GB2312" w:eastAsia="仿宋_GB2312"/>
        </w:rPr>
        <w:t>采购包最高限价（元）: 2,280,000.00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反光膜157.24吨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全生物降解地膜23.9吨 加厚高强度地膜111.11吨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731,000.00</w:t>
      </w:r>
    </w:p>
    <w:p>
      <w:pPr>
        <w:pStyle w:val="null3"/>
      </w:pPr>
      <w:r>
        <w:rPr>
          <w:rFonts w:ascii="仿宋_GB2312" w:hAnsi="仿宋_GB2312" w:cs="仿宋_GB2312" w:eastAsia="仿宋_GB2312"/>
        </w:rPr>
        <w:t>采购包最高限价（元）: 731,000.00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运输处置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标的名称：反光膜157.24吨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49"/>
              <w:gridCol w:w="360"/>
              <w:gridCol w:w="1314"/>
              <w:gridCol w:w="234"/>
              <w:gridCol w:w="222"/>
              <w:gridCol w:w="254"/>
            </w:tblGrid>
            <w:tr>
              <w:tc>
                <w:tcPr>
                  <w:tcW w:type="dxa" w:w="1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
                    <w:jc w:val="center"/>
                  </w:pPr>
                  <w:r>
                    <w:rPr>
                      <w:rFonts w:ascii="仿宋_GB2312" w:hAnsi="仿宋_GB2312" w:cs="仿宋_GB2312" w:eastAsia="仿宋_GB2312"/>
                      <w:sz w:val="20"/>
                    </w:rPr>
                    <w:t>序号</w:t>
                  </w:r>
                </w:p>
              </w:tc>
              <w:tc>
                <w:tcPr>
                  <w:tcW w:type="dxa" w:w="3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产品名称</w:t>
                  </w:r>
                </w:p>
              </w:tc>
              <w:tc>
                <w:tcPr>
                  <w:tcW w:type="dxa" w:w="1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技术参数及规格</w:t>
                  </w:r>
                </w:p>
              </w:tc>
              <w:tc>
                <w:tcPr>
                  <w:tcW w:type="dxa" w:w="2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80"/>
                    <w:jc w:val="both"/>
                  </w:pPr>
                  <w:r>
                    <w:rPr>
                      <w:rFonts w:ascii="仿宋_GB2312" w:hAnsi="仿宋_GB2312" w:cs="仿宋_GB2312" w:eastAsia="仿宋_GB2312"/>
                      <w:sz w:val="20"/>
                    </w:rPr>
                    <w:t>数量</w:t>
                  </w:r>
                </w:p>
              </w:tc>
              <w:tc>
                <w:tcPr>
                  <w:tcW w:type="dxa" w:w="2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80"/>
                    <w:jc w:val="both"/>
                  </w:pPr>
                  <w:r>
                    <w:rPr>
                      <w:rFonts w:ascii="仿宋_GB2312" w:hAnsi="仿宋_GB2312" w:cs="仿宋_GB2312" w:eastAsia="仿宋_GB2312"/>
                      <w:sz w:val="20"/>
                    </w:rPr>
                    <w:t>单位</w:t>
                  </w:r>
                </w:p>
              </w:tc>
              <w:tc>
                <w:tcPr>
                  <w:tcW w:type="dxa" w:w="2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最高限价单价</w:t>
                  </w:r>
                  <w:r>
                    <w:br/>
                  </w:r>
                  <w:r>
                    <w:rPr>
                      <w:rFonts w:ascii="仿宋_GB2312" w:hAnsi="仿宋_GB2312" w:cs="仿宋_GB2312" w:eastAsia="仿宋_GB2312"/>
                      <w:sz w:val="20"/>
                    </w:rPr>
                    <w:t>（元）</w:t>
                  </w:r>
                </w:p>
              </w:tc>
            </w:tr>
            <w:tr>
              <w:tc>
                <w:tcPr>
                  <w:tcW w:type="dxa" w:w="1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1</w:t>
                  </w: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反光膜</w:t>
                  </w:r>
                </w:p>
              </w:tc>
              <w:tc>
                <w:tcPr>
                  <w:tcW w:type="dxa" w:w="1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225" w:firstLine="2"/>
                    <w:jc w:val="both"/>
                  </w:pPr>
                  <w:r>
                    <w:rPr>
                      <w:rFonts w:ascii="仿宋_GB2312" w:hAnsi="仿宋_GB2312" w:cs="仿宋_GB2312" w:eastAsia="仿宋_GB2312"/>
                      <w:sz w:val="20"/>
                    </w:rPr>
                    <w:t>1.符合BB/T0030-2019要求，用于果树冠层果实着色，确保使用后能够有效回收。</w:t>
                  </w:r>
                </w:p>
                <w:p>
                  <w:pPr>
                    <w:pStyle w:val="null3"/>
                    <w:spacing w:before="30"/>
                    <w:ind w:left="30" w:right="225" w:firstLine="2"/>
                    <w:jc w:val="both"/>
                  </w:pPr>
                  <w:r>
                    <w:rPr>
                      <w:rFonts w:ascii="仿宋_GB2312" w:hAnsi="仿宋_GB2312" w:cs="仿宋_GB2312" w:eastAsia="仿宋_GB2312"/>
                      <w:sz w:val="20"/>
                    </w:rPr>
                    <w:t>2.幅宽：1.2m</w:t>
                  </w:r>
                </w:p>
                <w:p>
                  <w:pPr>
                    <w:pStyle w:val="null3"/>
                    <w:spacing w:before="30"/>
                    <w:ind w:left="30" w:right="225" w:firstLine="2"/>
                    <w:jc w:val="both"/>
                  </w:pPr>
                  <w:r>
                    <w:rPr>
                      <w:rFonts w:ascii="仿宋_GB2312" w:hAnsi="仿宋_GB2312" w:cs="仿宋_GB2312" w:eastAsia="仿宋_GB2312"/>
                      <w:sz w:val="20"/>
                    </w:rPr>
                    <w:t>3.厚度：≥0.012mm</w:t>
                  </w:r>
                </w:p>
                <w:p>
                  <w:pPr>
                    <w:pStyle w:val="null3"/>
                    <w:spacing w:before="30"/>
                    <w:ind w:left="30" w:right="225" w:firstLine="2"/>
                    <w:jc w:val="both"/>
                  </w:pPr>
                  <w:r>
                    <w:rPr>
                      <w:rFonts w:ascii="仿宋_GB2312" w:hAnsi="仿宋_GB2312" w:cs="仿宋_GB2312" w:eastAsia="仿宋_GB2312"/>
                      <w:sz w:val="20"/>
                    </w:rPr>
                    <w:t>提供佐证资料：包括但不限于经厂家确认的产品检测报告、技术证明文件等。</w:t>
                  </w:r>
                </w:p>
              </w:tc>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jc w:val="center"/>
                  </w:pPr>
                  <w:r>
                    <w:rPr>
                      <w:rFonts w:ascii="仿宋_GB2312" w:hAnsi="仿宋_GB2312" w:cs="仿宋_GB2312" w:eastAsia="仿宋_GB2312"/>
                      <w:sz w:val="20"/>
                    </w:rPr>
                    <w:t>157.24</w:t>
                  </w:r>
                </w:p>
              </w:tc>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吨</w:t>
                  </w: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14500.00</w:t>
                  </w:r>
                </w:p>
              </w:tc>
            </w:tr>
            <w:tr>
              <w:tc>
                <w:tcPr>
                  <w:tcW w:type="dxa" w:w="2533"/>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r>
                    <w:rPr>
                      <w:rFonts w:ascii="仿宋_GB2312" w:hAnsi="仿宋_GB2312" w:cs="仿宋_GB2312" w:eastAsia="仿宋_GB2312"/>
                      <w:sz w:val="20"/>
                      <w:b/>
                    </w:rPr>
                    <w:t>注：各供应商的投标报价单价均不得超过最高限价单价，超过最高限价单价者，按无效投标文件处理，本项目根据实际情况按中标单价据实结算。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标的名称：全生物降解地膜23.9吨 加厚高强度地膜111.11吨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49"/>
              <w:gridCol w:w="358"/>
              <w:gridCol w:w="1310"/>
              <w:gridCol w:w="233"/>
              <w:gridCol w:w="217"/>
              <w:gridCol w:w="266"/>
            </w:tblGrid>
            <w:tr>
              <w:tc>
                <w:tcPr>
                  <w:tcW w:type="dxa" w:w="1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序号</w:t>
                  </w:r>
                </w:p>
              </w:tc>
              <w:tc>
                <w:tcPr>
                  <w:tcW w:type="dxa" w:w="3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产品名称</w:t>
                  </w:r>
                </w:p>
              </w:tc>
              <w:tc>
                <w:tcPr>
                  <w:tcW w:type="dxa" w:w="13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技术参数及规格</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数量</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单位</w:t>
                  </w:r>
                </w:p>
              </w:tc>
              <w:tc>
                <w:tcPr>
                  <w:tcW w:type="dxa" w:w="2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最高限价单价</w:t>
                  </w:r>
                  <w:r>
                    <w:br/>
                  </w:r>
                  <w:r>
                    <w:rPr>
                      <w:rFonts w:ascii="仿宋_GB2312" w:hAnsi="仿宋_GB2312" w:cs="仿宋_GB2312" w:eastAsia="仿宋_GB2312"/>
                      <w:sz w:val="20"/>
                    </w:rPr>
                    <w:t>（元）</w:t>
                  </w:r>
                </w:p>
              </w:tc>
            </w:tr>
            <w:tr>
              <w:tc>
                <w:tcPr>
                  <w:tcW w:type="dxa" w:w="1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1</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加厚高强度</w:t>
                  </w:r>
                </w:p>
                <w:p>
                  <w:pPr>
                    <w:pStyle w:val="null3"/>
                    <w:spacing w:before="75"/>
                    <w:jc w:val="center"/>
                  </w:pPr>
                  <w:r>
                    <w:rPr>
                      <w:rFonts w:ascii="仿宋_GB2312" w:hAnsi="仿宋_GB2312" w:cs="仿宋_GB2312" w:eastAsia="仿宋_GB2312"/>
                      <w:sz w:val="20"/>
                    </w:rPr>
                    <w:t>地膜</w:t>
                  </w:r>
                </w:p>
              </w:tc>
              <w:tc>
                <w:tcPr>
                  <w:tcW w:type="dxa" w:w="1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left"/>
                  </w:pPr>
                  <w:r>
                    <w:rPr>
                      <w:rFonts w:ascii="仿宋_GB2312" w:hAnsi="仿宋_GB2312" w:cs="仿宋_GB2312" w:eastAsia="仿宋_GB2312"/>
                      <w:sz w:val="20"/>
                    </w:rPr>
                    <w:t>1.</w:t>
                  </w:r>
                  <w:r>
                    <w:rPr>
                      <w:rFonts w:ascii="仿宋_GB2312" w:hAnsi="仿宋_GB2312" w:cs="仿宋_GB2312" w:eastAsia="仿宋_GB2312"/>
                      <w:sz w:val="20"/>
                    </w:rPr>
                    <w:t>覆盖时间和力学性能指标不低于《聚乙烯吹塑农用地</w:t>
                  </w:r>
                  <w:r>
                    <w:rPr>
                      <w:rFonts w:ascii="仿宋_GB2312" w:hAnsi="仿宋_GB2312" w:cs="仿宋_GB2312" w:eastAsia="仿宋_GB2312"/>
                      <w:sz w:val="20"/>
                    </w:rPr>
                    <w:t>面</w:t>
                  </w:r>
                  <w:r>
                    <w:rPr>
                      <w:rFonts w:ascii="仿宋_GB2312" w:hAnsi="仿宋_GB2312" w:cs="仿宋_GB2312" w:eastAsia="仿宋_GB2312"/>
                      <w:sz w:val="20"/>
                    </w:rPr>
                    <w:t>覆盖薄膜》</w:t>
                  </w:r>
                  <w:r>
                    <w:rPr>
                      <w:rFonts w:ascii="仿宋_GB2312" w:hAnsi="仿宋_GB2312" w:cs="仿宋_GB2312" w:eastAsia="仿宋_GB2312"/>
                      <w:sz w:val="20"/>
                    </w:rPr>
                    <w:t>(GB13735-2017)中I类耐老化地膜有关要求，确保地膜使用后能够有效回收。</w:t>
                  </w:r>
                </w:p>
                <w:p>
                  <w:pPr>
                    <w:pStyle w:val="null3"/>
                    <w:spacing w:before="30"/>
                    <w:ind w:left="30" w:right="225" w:firstLine="2"/>
                    <w:jc w:val="both"/>
                  </w:pPr>
                  <w:r>
                    <w:rPr>
                      <w:rFonts w:ascii="仿宋_GB2312" w:hAnsi="仿宋_GB2312" w:cs="仿宋_GB2312" w:eastAsia="仿宋_GB2312"/>
                      <w:sz w:val="20"/>
                    </w:rPr>
                    <w:t>2.幅宽：1.4m</w:t>
                  </w:r>
                </w:p>
                <w:p>
                  <w:pPr>
                    <w:pStyle w:val="null3"/>
                    <w:spacing w:before="30"/>
                    <w:ind w:left="30" w:right="225" w:firstLine="2"/>
                    <w:jc w:val="both"/>
                  </w:pPr>
                  <w:r>
                    <w:rPr>
                      <w:rFonts w:ascii="仿宋_GB2312" w:hAnsi="仿宋_GB2312" w:cs="仿宋_GB2312" w:eastAsia="仿宋_GB2312"/>
                      <w:sz w:val="20"/>
                    </w:rPr>
                    <w:t>3.厚度：≥0.012mm</w:t>
                  </w:r>
                </w:p>
                <w:p>
                  <w:pPr>
                    <w:pStyle w:val="null3"/>
                    <w:spacing w:before="75"/>
                    <w:jc w:val="left"/>
                  </w:pPr>
                  <w:r>
                    <w:rPr>
                      <w:rFonts w:ascii="仿宋_GB2312" w:hAnsi="仿宋_GB2312" w:cs="仿宋_GB2312" w:eastAsia="仿宋_GB2312"/>
                      <w:sz w:val="20"/>
                    </w:rPr>
                    <w:t>提供佐证资料：包括但不限于经厂家确认的产品检测报告、技术证明文件等。</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111.11</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吨</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13500.00</w:t>
                  </w:r>
                </w:p>
              </w:tc>
            </w:tr>
            <w:tr>
              <w:tc>
                <w:tcPr>
                  <w:tcW w:type="dxa" w:w="1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225" w:firstLine="2"/>
                    <w:jc w:val="center"/>
                  </w:pPr>
                  <w:r>
                    <w:rPr>
                      <w:rFonts w:ascii="仿宋_GB2312" w:hAnsi="仿宋_GB2312" w:cs="仿宋_GB2312" w:eastAsia="仿宋_GB2312"/>
                      <w:sz w:val="20"/>
                    </w:rPr>
                    <w:t>全生物降解</w:t>
                  </w:r>
                </w:p>
                <w:p>
                  <w:pPr>
                    <w:pStyle w:val="null3"/>
                    <w:spacing w:before="30"/>
                    <w:ind w:left="30" w:right="225" w:firstLine="2"/>
                    <w:jc w:val="center"/>
                  </w:pPr>
                  <w:r>
                    <w:rPr>
                      <w:rFonts w:ascii="仿宋_GB2312" w:hAnsi="仿宋_GB2312" w:cs="仿宋_GB2312" w:eastAsia="仿宋_GB2312"/>
                      <w:sz w:val="20"/>
                    </w:rPr>
                    <w:t>地膜</w:t>
                  </w:r>
                </w:p>
              </w:tc>
              <w:tc>
                <w:tcPr>
                  <w:tcW w:type="dxa" w:w="1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225" w:firstLine="2"/>
                    <w:jc w:val="both"/>
                  </w:pPr>
                  <w:r>
                    <w:rPr>
                      <w:rFonts w:ascii="仿宋_GB2312" w:hAnsi="仿宋_GB2312" w:cs="仿宋_GB2312" w:eastAsia="仿宋_GB2312"/>
                      <w:sz w:val="20"/>
                    </w:rPr>
                    <w:t>1.符合《全生物降解农用地面覆盖薄膜》（GB/T35795-2017）国家标准。</w:t>
                  </w:r>
                </w:p>
                <w:p>
                  <w:pPr>
                    <w:pStyle w:val="null3"/>
                    <w:spacing w:before="30"/>
                    <w:ind w:left="30" w:right="225" w:firstLine="2"/>
                    <w:jc w:val="both"/>
                  </w:pPr>
                  <w:r>
                    <w:rPr>
                      <w:rFonts w:ascii="仿宋_GB2312" w:hAnsi="仿宋_GB2312" w:cs="仿宋_GB2312" w:eastAsia="仿宋_GB2312"/>
                      <w:sz w:val="20"/>
                    </w:rPr>
                    <w:t>2.幅宽：1.4m</w:t>
                  </w:r>
                </w:p>
                <w:p>
                  <w:pPr>
                    <w:pStyle w:val="null3"/>
                    <w:spacing w:before="30"/>
                    <w:ind w:left="30" w:right="225" w:firstLine="2"/>
                    <w:jc w:val="both"/>
                  </w:pPr>
                  <w:r>
                    <w:rPr>
                      <w:rFonts w:ascii="仿宋_GB2312" w:hAnsi="仿宋_GB2312" w:cs="仿宋_GB2312" w:eastAsia="仿宋_GB2312"/>
                      <w:sz w:val="20"/>
                    </w:rPr>
                    <w:t>3.厚度：≥0.01mm</w:t>
                  </w:r>
                </w:p>
                <w:p>
                  <w:pPr>
                    <w:pStyle w:val="null3"/>
                    <w:spacing w:before="30"/>
                    <w:ind w:left="30" w:right="225" w:firstLine="2"/>
                    <w:jc w:val="both"/>
                  </w:pPr>
                  <w:r>
                    <w:rPr>
                      <w:rFonts w:ascii="仿宋_GB2312" w:hAnsi="仿宋_GB2312" w:cs="仿宋_GB2312" w:eastAsia="仿宋_GB2312"/>
                      <w:sz w:val="20"/>
                    </w:rPr>
                    <w:t>提供佐证资料：包括但不限于经厂家确认的产品检测报告、技术证明文件等。</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23.90</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吨</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25100.00</w:t>
                  </w:r>
                </w:p>
              </w:tc>
            </w:tr>
            <w:tr>
              <w:tc>
                <w:tcPr>
                  <w:tcW w:type="dxa" w:w="2533"/>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left"/>
                  </w:pPr>
                  <w:r>
                    <w:rPr>
                      <w:rFonts w:ascii="仿宋_GB2312" w:hAnsi="仿宋_GB2312" w:cs="仿宋_GB2312" w:eastAsia="仿宋_GB2312"/>
                      <w:sz w:val="20"/>
                      <w:b/>
                    </w:rPr>
                    <w:t>注：各供应商的投标报价单价均不得超过最高限价单价，超过最高限价单价者，按无效投标文件处理，本项目根据实际情况按中标单价据实结算。</w:t>
                  </w:r>
                </w:p>
              </w:tc>
            </w:tr>
            <w:tr>
              <w:tc>
                <w:tcPr>
                  <w:tcW w:type="dxa" w:w="2533"/>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注：关于核心产品同一品牌产品的处理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1）本</w:t>
                  </w:r>
                  <w:r>
                    <w:rPr>
                      <w:rFonts w:ascii="仿宋_GB2312" w:hAnsi="仿宋_GB2312" w:cs="仿宋_GB2312" w:eastAsia="仿宋_GB2312"/>
                      <w:sz w:val="21"/>
                    </w:rPr>
                    <w:t>采购包</w:t>
                  </w:r>
                  <w:r>
                    <w:rPr>
                      <w:rFonts w:ascii="仿宋_GB2312" w:hAnsi="仿宋_GB2312" w:cs="仿宋_GB2312" w:eastAsia="仿宋_GB2312"/>
                      <w:sz w:val="21"/>
                    </w:rPr>
                    <w:t>为非单一产品采购项目，核心产品为</w:t>
                  </w:r>
                  <w:r>
                    <w:rPr>
                      <w:rFonts w:ascii="仿宋_GB2312" w:hAnsi="仿宋_GB2312" w:cs="仿宋_GB2312" w:eastAsia="仿宋_GB2312"/>
                      <w:u w:val="single"/>
                    </w:rPr>
                    <w:t xml:space="preserve"> </w:t>
                  </w:r>
                  <w:r>
                    <w:rPr>
                      <w:rFonts w:ascii="仿宋_GB2312" w:hAnsi="仿宋_GB2312" w:cs="仿宋_GB2312" w:eastAsia="仿宋_GB2312"/>
                      <w:sz w:val="21"/>
                      <w:u w:val="single"/>
                    </w:rPr>
                    <w:t>加厚高强度地膜</w:t>
                  </w:r>
                  <w:r>
                    <w:rPr>
                      <w:rFonts w:ascii="仿宋_GB2312" w:hAnsi="仿宋_GB2312" w:cs="仿宋_GB2312" w:eastAsia="仿宋_GB2312"/>
                      <w:u w:val="single"/>
                    </w:rPr>
                    <w:t xml:space="preserve"> </w:t>
                  </w:r>
                  <w:r>
                    <w:rPr>
                      <w:rFonts w:ascii="仿宋_GB2312" w:hAnsi="仿宋_GB2312" w:cs="仿宋_GB2312" w:eastAsia="仿宋_GB2312"/>
                      <w:sz w:val="21"/>
                    </w:rPr>
                    <w:t>。</w:t>
                  </w:r>
                </w:p>
                <w:p>
                  <w:pPr>
                    <w:pStyle w:val="null3"/>
                    <w:spacing w:before="75"/>
                    <w:jc w:val="left"/>
                  </w:pPr>
                  <w:r>
                    <w:rPr>
                      <w:rFonts w:ascii="仿宋_GB2312" w:hAnsi="仿宋_GB2312" w:cs="仿宋_GB2312" w:eastAsia="仿宋_GB2312"/>
                      <w:sz w:val="21"/>
                    </w:rPr>
                    <w:t>（</w:t>
                  </w:r>
                  <w:r>
                    <w:rPr>
                      <w:rFonts w:ascii="仿宋_GB2312" w:hAnsi="仿宋_GB2312" w:cs="仿宋_GB2312" w:eastAsia="仿宋_GB2312"/>
                      <w:sz w:val="21"/>
                    </w:rPr>
                    <w:t>2）多家供应商提供的核心产品品牌相同的处理办法：提供相同品牌产品且通过资格审查、符合性审查的不同供应商参加同一合同项下投标的，按一家供应商计算，评审后得分最高的同品牌供应商获得中标人推荐资格；评审得分相同的，由采购人委托评审委员会按照投标报价由低到高的顺序确定一个供应商获得中标人推荐资格；评审得分且投标报价相同的，由采购人委托评审委员会按照技术指标优劣顺序确定一个供应商获得中标人推荐资格。</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标的名称：运输处置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0"/>
              <w:ind w:left="30" w:right="225" w:firstLine="2"/>
              <w:jc w:val="both"/>
            </w:pPr>
            <w:r>
              <w:rPr>
                <w:rFonts w:ascii="仿宋_GB2312" w:hAnsi="仿宋_GB2312" w:cs="仿宋_GB2312" w:eastAsia="仿宋_GB2312"/>
                <w:sz w:val="20"/>
              </w:rPr>
              <w:t>1、废旧地膜转运作业环节按照1.5元/公斤的标准进行补助。</w:t>
            </w:r>
          </w:p>
          <w:p>
            <w:pPr>
              <w:pStyle w:val="null3"/>
              <w:spacing w:before="30"/>
              <w:ind w:left="30" w:right="225" w:firstLine="2"/>
              <w:jc w:val="both"/>
            </w:pPr>
            <w:r>
              <w:rPr>
                <w:rFonts w:ascii="仿宋_GB2312" w:hAnsi="仿宋_GB2312" w:cs="仿宋_GB2312" w:eastAsia="仿宋_GB2312"/>
                <w:sz w:val="20"/>
              </w:rPr>
              <w:t>2、处置环节按照0.7元/公斤的标准进行补助。</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所有货物供货完毕，经采购人验收合格后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地膜推广服务工作完成后并经采购人确认后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所有货物供货完毕，经采购人验收合格后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地膜推广服务工作完成后并经采购人确认后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工作内容全部完成，经采购人验收合格后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按照合同清单、国家及行业规定进行验收。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按照合同清单、国家及行业规定进行验收。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按照合同内容、国家及行业规定进行验收。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等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等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等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（1）质量要求：满足国家及行业规定的合格标准。 （2）各供应商应根据“陕西财政厅 陕财办采函【2023】14号文”陕西财政厅关于省级预算单位全面推行政府采购项目电子化交易的通知、《政府采购项目电子化交易规则》等文件的要求，做好人员配备、设备配备、系统操作的相应准备，熟悉并正确实施相关操作流程，承担由于操作或其他因素造成的不利后果。 （3）因文件关于合同签订时间无法修改，特在此处说明，采购人应当自中标通知书发出之日起二十五日内，按照招标文件和中标单位的投标文件，与中标单位签订书面合同。中标单位无正当理由不得拖延或拒绝与采购人签订书面合同，否则，采购人有权取消该供应商资格，因此给采购人造成损失的，中标单位还应赔偿其全部损失。 （4）因平台设置问题，供应商在编制投标文件时可根据自身情况在投标文件格式“供应商需要提供的其他资料”中新增有关内容。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（包1）资格证明文件.docx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（包1）资格证明文件.docx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（包1）资格证明文件.docx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（包2）资格证明文件.docx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（包2）资格证明文件.docx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（包2）资格证明文件.docx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（包3）资格证明文件.docx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（包3）资格证明文件.docx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（包3）资格证明文件.docx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tc>
        <w:tc>
          <w:tcPr>
            <w:tcW w:type="dxa" w:w="1661"/>
          </w:tcPr>
          <w:p>
            <w:pPr>
              <w:pStyle w:val="null3"/>
            </w:pPr>
            <w:r>
              <w:rPr>
                <w:rFonts w:ascii="仿宋_GB2312" w:hAnsi="仿宋_GB2312" w:cs="仿宋_GB2312" w:eastAsia="仿宋_GB2312"/>
              </w:rPr>
              <w:t>（包1）法定代表人授权书.docx （包1）资格证明文件.docx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税收缴纳证明及社保缴纳证明</w:t>
            </w:r>
          </w:p>
        </w:tc>
        <w:tc>
          <w:tcPr>
            <w:tcW w:type="dxa" w:w="3322"/>
          </w:tcPr>
          <w:p>
            <w:pPr>
              <w:pStyle w:val="null3"/>
            </w:pPr>
            <w:r>
              <w:rPr>
                <w:rFonts w:ascii="仿宋_GB2312" w:hAnsi="仿宋_GB2312" w:cs="仿宋_GB2312" w:eastAsia="仿宋_GB2312"/>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供应商“失信被执行人”及“重大税收违法失信主体”信用查询</w:t>
            </w:r>
          </w:p>
        </w:tc>
        <w:tc>
          <w:tcPr>
            <w:tcW w:type="dxa" w:w="3322"/>
          </w:tcPr>
          <w:p>
            <w:pPr>
              <w:pStyle w:val="null3"/>
            </w:pPr>
            <w:r>
              <w:rPr>
                <w:rFonts w:ascii="仿宋_GB2312" w:hAnsi="仿宋_GB2312" w:cs="仿宋_GB2312" w:eastAsia="仿宋_GB2312"/>
              </w:rPr>
              <w:t>供应商不得为“信用中国”（http://www.creditchina.gov.cn）网站或者“中国执行信息公开网”（http://zxgk.court.gov.cn/shixin/）网站“失信被执行人”和“信用中国”（http://www.creditchina.gov.cn）网站“重大税收违法失信主体”的企业。</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供应商“中国政府采购网”信用查询</w:t>
            </w:r>
          </w:p>
        </w:tc>
        <w:tc>
          <w:tcPr>
            <w:tcW w:type="dxa" w:w="3322"/>
          </w:tcPr>
          <w:p>
            <w:pPr>
              <w:pStyle w:val="null3"/>
            </w:pPr>
            <w:r>
              <w:rPr>
                <w:rFonts w:ascii="仿宋_GB2312" w:hAnsi="仿宋_GB2312" w:cs="仿宋_GB2312" w:eastAsia="仿宋_GB2312"/>
              </w:rPr>
              <w:t>供应商不得为“中国政府采购网”（www.ccgp.gov.cn）政府采购严重违法失信行为记录名单中被财政部门禁止参加政府采购活动的企业。</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供应商须提供具有履行本合同所必需的设备和专业技术能力的说明及承诺。</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（包1）资格证明文件.docx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tc>
        <w:tc>
          <w:tcPr>
            <w:tcW w:type="dxa" w:w="1661"/>
          </w:tcPr>
          <w:p>
            <w:pPr>
              <w:pStyle w:val="null3"/>
            </w:pPr>
            <w:r>
              <w:rPr>
                <w:rFonts w:ascii="仿宋_GB2312" w:hAnsi="仿宋_GB2312" w:cs="仿宋_GB2312" w:eastAsia="仿宋_GB2312"/>
              </w:rPr>
              <w:t>（包2）资格证明文件.docx （包2）法定代表人授权书.docx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税收缴纳证明及社保缴纳证明</w:t>
            </w:r>
          </w:p>
        </w:tc>
        <w:tc>
          <w:tcPr>
            <w:tcW w:type="dxa" w:w="3322"/>
          </w:tcPr>
          <w:p>
            <w:pPr>
              <w:pStyle w:val="null3"/>
            </w:pPr>
            <w:r>
              <w:rPr>
                <w:rFonts w:ascii="仿宋_GB2312" w:hAnsi="仿宋_GB2312" w:cs="仿宋_GB2312" w:eastAsia="仿宋_GB2312"/>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供应商“失信被执行人”及“重大税收违法失信主体”信用查询</w:t>
            </w:r>
          </w:p>
        </w:tc>
        <w:tc>
          <w:tcPr>
            <w:tcW w:type="dxa" w:w="3322"/>
          </w:tcPr>
          <w:p>
            <w:pPr>
              <w:pStyle w:val="null3"/>
            </w:pPr>
            <w:r>
              <w:rPr>
                <w:rFonts w:ascii="仿宋_GB2312" w:hAnsi="仿宋_GB2312" w:cs="仿宋_GB2312" w:eastAsia="仿宋_GB2312"/>
              </w:rPr>
              <w:t>供应商不得为“信用中国”（http://www.creditchina.gov.cn）网站或者“中国执行信息公开网”（http://zxgk.court.gov.cn/shixin/）网站“失信被执行人”和“信用中国”（http://www.creditchina.gov.cn）网站“重大税收违法失信主体”的企业。</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供应商“中国政府采购网”信用查询</w:t>
            </w:r>
          </w:p>
        </w:tc>
        <w:tc>
          <w:tcPr>
            <w:tcW w:type="dxa" w:w="3322"/>
          </w:tcPr>
          <w:p>
            <w:pPr>
              <w:pStyle w:val="null3"/>
            </w:pPr>
            <w:r>
              <w:rPr>
                <w:rFonts w:ascii="仿宋_GB2312" w:hAnsi="仿宋_GB2312" w:cs="仿宋_GB2312" w:eastAsia="仿宋_GB2312"/>
              </w:rPr>
              <w:t>供应商不得为“中国政府采购网”（www.ccgp.gov.cn）政府采购严重违法失信行为记录名单中被财政部门禁止参加政府采购活动的企业。</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供应商须提供具有履行本合同所必需的设备和专业技术能力的说明及承诺。</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（包2）资格证明文件.docx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（包3）资格证明文件.docx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tc>
        <w:tc>
          <w:tcPr>
            <w:tcW w:type="dxa" w:w="1661"/>
          </w:tcPr>
          <w:p>
            <w:pPr>
              <w:pStyle w:val="null3"/>
            </w:pPr>
            <w:r>
              <w:rPr>
                <w:rFonts w:ascii="仿宋_GB2312" w:hAnsi="仿宋_GB2312" w:cs="仿宋_GB2312" w:eastAsia="仿宋_GB2312"/>
              </w:rPr>
              <w:t>（包3）资格证明文件.docx （包3）法定代表人授权书.docx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（包3）资格证明文件.docx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税收缴纳证明及社保缴纳证明</w:t>
            </w:r>
          </w:p>
        </w:tc>
        <w:tc>
          <w:tcPr>
            <w:tcW w:type="dxa" w:w="3322"/>
          </w:tcPr>
          <w:p>
            <w:pPr>
              <w:pStyle w:val="null3"/>
            </w:pPr>
            <w:r>
              <w:rPr>
                <w:rFonts w:ascii="仿宋_GB2312" w:hAnsi="仿宋_GB2312" w:cs="仿宋_GB2312" w:eastAsia="仿宋_GB2312"/>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tc>
        <w:tc>
          <w:tcPr>
            <w:tcW w:type="dxa" w:w="1661"/>
          </w:tcPr>
          <w:p>
            <w:pPr>
              <w:pStyle w:val="null3"/>
            </w:pPr>
            <w:r>
              <w:rPr>
                <w:rFonts w:ascii="仿宋_GB2312" w:hAnsi="仿宋_GB2312" w:cs="仿宋_GB2312" w:eastAsia="仿宋_GB2312"/>
              </w:rPr>
              <w:t>（包3）资格证明文件.docx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供应商“失信被执行人”及“重大税收违法失信主体”信用查询</w:t>
            </w:r>
          </w:p>
        </w:tc>
        <w:tc>
          <w:tcPr>
            <w:tcW w:type="dxa" w:w="3322"/>
          </w:tcPr>
          <w:p>
            <w:pPr>
              <w:pStyle w:val="null3"/>
            </w:pPr>
            <w:r>
              <w:rPr>
                <w:rFonts w:ascii="仿宋_GB2312" w:hAnsi="仿宋_GB2312" w:cs="仿宋_GB2312" w:eastAsia="仿宋_GB2312"/>
              </w:rPr>
              <w:t>供应商不得为“信用中国”（http://www.creditchina.gov.cn）网站或者“中国执行信息公开网”（http://zxgk.court.gov.cn/shixin/）网站“失信被执行人”和“信用中国”（http://www.creditchina.gov.cn）网站“重大税收违法失信主体”的企业。</w:t>
            </w:r>
          </w:p>
        </w:tc>
        <w:tc>
          <w:tcPr>
            <w:tcW w:type="dxa" w:w="1661"/>
          </w:tcPr>
          <w:p>
            <w:pPr>
              <w:pStyle w:val="null3"/>
            </w:pPr>
            <w:r>
              <w:rPr>
                <w:rFonts w:ascii="仿宋_GB2312" w:hAnsi="仿宋_GB2312" w:cs="仿宋_GB2312" w:eastAsia="仿宋_GB2312"/>
              </w:rPr>
              <w:t>（包3）资格证明文件.docx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供应商“中国政府采购网”信用查询</w:t>
            </w:r>
          </w:p>
        </w:tc>
        <w:tc>
          <w:tcPr>
            <w:tcW w:type="dxa" w:w="3322"/>
          </w:tcPr>
          <w:p>
            <w:pPr>
              <w:pStyle w:val="null3"/>
            </w:pPr>
            <w:r>
              <w:rPr>
                <w:rFonts w:ascii="仿宋_GB2312" w:hAnsi="仿宋_GB2312" w:cs="仿宋_GB2312" w:eastAsia="仿宋_GB2312"/>
              </w:rPr>
              <w:t>供应商不得为“中国政府采购网”（www.ccgp.gov.cn）政府采购严重违法失信行为记录名单中被财政部门禁止参加政府采购活动的企业。</w:t>
            </w:r>
          </w:p>
        </w:tc>
        <w:tc>
          <w:tcPr>
            <w:tcW w:type="dxa" w:w="1661"/>
          </w:tcPr>
          <w:p>
            <w:pPr>
              <w:pStyle w:val="null3"/>
            </w:pPr>
            <w:r>
              <w:rPr>
                <w:rFonts w:ascii="仿宋_GB2312" w:hAnsi="仿宋_GB2312" w:cs="仿宋_GB2312" w:eastAsia="仿宋_GB2312"/>
              </w:rPr>
              <w:t>（包3）资格证明文件.docx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供应商须提供具有履行本合同所必需的设备和专业技术能力的说明及承诺。</w:t>
            </w:r>
          </w:p>
        </w:tc>
        <w:tc>
          <w:tcPr>
            <w:tcW w:type="dxa" w:w="1661"/>
          </w:tcPr>
          <w:p>
            <w:pPr>
              <w:pStyle w:val="null3"/>
            </w:pPr>
            <w:r>
              <w:rPr>
                <w:rFonts w:ascii="仿宋_GB2312" w:hAnsi="仿宋_GB2312" w:cs="仿宋_GB2312" w:eastAsia="仿宋_GB2312"/>
              </w:rPr>
              <w:t>（包3）资格证明文件.docx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（包3）资格证明文件.docx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（包3）资格证明文件.docx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（包3）资格证明文件.docx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（包3）资格证明文件.docx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（包3）中小企业声明函.docx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签字、盖章是否符合招标文件要求。</w:t>
            </w:r>
          </w:p>
        </w:tc>
        <w:tc>
          <w:tcPr>
            <w:tcW w:type="dxa" w:w="1661"/>
          </w:tcPr>
          <w:p>
            <w:pPr>
              <w:pStyle w:val="null3"/>
            </w:pPr>
            <w:r>
              <w:rPr>
                <w:rFonts w:ascii="仿宋_GB2312" w:hAnsi="仿宋_GB2312" w:cs="仿宋_GB2312" w:eastAsia="仿宋_GB2312"/>
              </w:rPr>
              <w:t>开标一览表 投标函 商务应答表 （包1）法定代表人授权书.docx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只能有一个有效报价，不得提交选择性报价，且单价报价和投标总价不超过各自最高限价。</w:t>
            </w:r>
          </w:p>
        </w:tc>
        <w:tc>
          <w:tcPr>
            <w:tcW w:type="dxa" w:w="1661"/>
          </w:tcPr>
          <w:p>
            <w:pPr>
              <w:pStyle w:val="null3"/>
            </w:pPr>
            <w:r>
              <w:rPr>
                <w:rFonts w:ascii="仿宋_GB2312" w:hAnsi="仿宋_GB2312" w:cs="仿宋_GB2312" w:eastAsia="仿宋_GB2312"/>
              </w:rPr>
              <w:t>开标一览表 （包1）分项报价表.docx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商务应答表 （包1）供应商需要提供的其他资料.docx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供货期及地点</w:t>
            </w:r>
          </w:p>
        </w:tc>
        <w:tc>
          <w:tcPr>
            <w:tcW w:type="dxa" w:w="3322"/>
          </w:tcPr>
          <w:p>
            <w:pPr>
              <w:pStyle w:val="null3"/>
            </w:pPr>
            <w:r>
              <w:rPr>
                <w:rFonts w:ascii="仿宋_GB2312" w:hAnsi="仿宋_GB2312" w:cs="仿宋_GB2312" w:eastAsia="仿宋_GB2312"/>
              </w:rPr>
              <w:t>应满足招标文件要求的供货期及地点。</w:t>
            </w:r>
          </w:p>
        </w:tc>
        <w:tc>
          <w:tcPr>
            <w:tcW w:type="dxa" w:w="1661"/>
          </w:tcPr>
          <w:p>
            <w:pPr>
              <w:pStyle w:val="null3"/>
            </w:pPr>
            <w:r>
              <w:rPr>
                <w:rFonts w:ascii="仿宋_GB2312" w:hAnsi="仿宋_GB2312" w:cs="仿宋_GB2312" w:eastAsia="仿宋_GB2312"/>
              </w:rPr>
              <w:t>投标函 商务应答表 （包1）供应商需要提供的其他资料.docx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签字、盖章是否符合招标文件要求。</w:t>
            </w:r>
          </w:p>
        </w:tc>
        <w:tc>
          <w:tcPr>
            <w:tcW w:type="dxa" w:w="1661"/>
          </w:tcPr>
          <w:p>
            <w:pPr>
              <w:pStyle w:val="null3"/>
            </w:pPr>
            <w:r>
              <w:rPr>
                <w:rFonts w:ascii="仿宋_GB2312" w:hAnsi="仿宋_GB2312" w:cs="仿宋_GB2312" w:eastAsia="仿宋_GB2312"/>
              </w:rPr>
              <w:t>开标一览表 投标函 商务应答表 标的清单 投标文件封面 （包2）法定代表人授权书.docx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只能有一个有效报价，不得提交选择性报价，且单价报价和投标总价不超过各自最高限价。</w:t>
            </w:r>
          </w:p>
        </w:tc>
        <w:tc>
          <w:tcPr>
            <w:tcW w:type="dxa" w:w="1661"/>
          </w:tcPr>
          <w:p>
            <w:pPr>
              <w:pStyle w:val="null3"/>
            </w:pPr>
            <w:r>
              <w:rPr>
                <w:rFonts w:ascii="仿宋_GB2312" w:hAnsi="仿宋_GB2312" w:cs="仿宋_GB2312" w:eastAsia="仿宋_GB2312"/>
              </w:rPr>
              <w:t>开标一览表 投标函 标的清单 （包2）分项报价表.docx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商务应答表 （包2）供应商需要提供的其他资料.docx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供货期及地点</w:t>
            </w:r>
          </w:p>
        </w:tc>
        <w:tc>
          <w:tcPr>
            <w:tcW w:type="dxa" w:w="3322"/>
          </w:tcPr>
          <w:p>
            <w:pPr>
              <w:pStyle w:val="null3"/>
            </w:pPr>
            <w:r>
              <w:rPr>
                <w:rFonts w:ascii="仿宋_GB2312" w:hAnsi="仿宋_GB2312" w:cs="仿宋_GB2312" w:eastAsia="仿宋_GB2312"/>
              </w:rPr>
              <w:t>应满足招标文件要求的供货期及地点。</w:t>
            </w:r>
          </w:p>
        </w:tc>
        <w:tc>
          <w:tcPr>
            <w:tcW w:type="dxa" w:w="1661"/>
          </w:tcPr>
          <w:p>
            <w:pPr>
              <w:pStyle w:val="null3"/>
            </w:pPr>
            <w:r>
              <w:rPr>
                <w:rFonts w:ascii="仿宋_GB2312" w:hAnsi="仿宋_GB2312" w:cs="仿宋_GB2312" w:eastAsia="仿宋_GB2312"/>
              </w:rPr>
              <w:t>投标函 商务应答表 （包2）供应商需要提供的其他资料.docx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签字、盖章是否符合招标文件要求。</w:t>
            </w:r>
          </w:p>
        </w:tc>
        <w:tc>
          <w:tcPr>
            <w:tcW w:type="dxa" w:w="1661"/>
          </w:tcPr>
          <w:p>
            <w:pPr>
              <w:pStyle w:val="null3"/>
            </w:pPr>
            <w:r>
              <w:rPr>
                <w:rFonts w:ascii="仿宋_GB2312" w:hAnsi="仿宋_GB2312" w:cs="仿宋_GB2312" w:eastAsia="仿宋_GB2312"/>
              </w:rPr>
              <w:t>开标一览表 投标函 商务应答表 标的清单 投标文件封面 （包3）法定代表人授权书.docx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标的清单 （包3）分项报价表.docx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商务应答表 （包3）供应商需要提供的其他资料.docx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服务期及地点</w:t>
            </w:r>
          </w:p>
        </w:tc>
        <w:tc>
          <w:tcPr>
            <w:tcW w:type="dxa" w:w="3322"/>
          </w:tcPr>
          <w:p>
            <w:pPr>
              <w:pStyle w:val="null3"/>
            </w:pPr>
            <w:r>
              <w:rPr>
                <w:rFonts w:ascii="仿宋_GB2312" w:hAnsi="仿宋_GB2312" w:cs="仿宋_GB2312" w:eastAsia="仿宋_GB2312"/>
              </w:rPr>
              <w:t>应满足招标文件要求的服务期及地点。</w:t>
            </w:r>
          </w:p>
        </w:tc>
        <w:tc>
          <w:tcPr>
            <w:tcW w:type="dxa" w:w="1661"/>
          </w:tcPr>
          <w:p>
            <w:pPr>
              <w:pStyle w:val="null3"/>
            </w:pPr>
            <w:r>
              <w:rPr>
                <w:rFonts w:ascii="仿宋_GB2312" w:hAnsi="仿宋_GB2312" w:cs="仿宋_GB2312" w:eastAsia="仿宋_GB2312"/>
              </w:rPr>
              <w:t>投标函 商务应答表 （包3）供应商需要提供的其他资料.docx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根据供应商所投产品的技术资料、响应功能证明材料（包含但不限于经厂家确认的产品检验报告、技术证明材料等），从产品的技术指标、配置、性能等方面因素进行评审。 完全满足招标文件要求的，得9分；每负偏离一项扣3分，扣完为止。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提供供应商近三年（合同签订日期2023年03月01日至今，以合同签订时间为准）类似项目业绩，有一项得1分，最高得3分。（附合同复印件，不提供不得分）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（包1）业绩.docx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能提供所投产品的合法来源渠道证明文件（不限于产品制造商授权或销售协议或代理协议或原厂授权等）的计3分。 注：不提供不得分。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（包1）产品渠道.docx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9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（包1）质量保证措施.docx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（包1）人员配置方案.docx</w:t>
            </w:r>
          </w:p>
        </w:tc>
      </w:tr>
      <w:tr>
        <w:tc>
          <w:tcPr>
            <w:tcW w:type="dxa" w:w="831"/>
            <w:vMerge/>
          </w:tcPr>
          <w:p/>
        </w:tc>
        <w:tc>
          <w:tcPr>
            <w:tcW w:type="dxa" w:w="1661"/>
          </w:tcPr>
          <w:p>
            <w:pPr>
              <w:pStyle w:val="null3"/>
            </w:pPr>
            <w:r>
              <w:rPr>
                <w:rFonts w:ascii="仿宋_GB2312" w:hAnsi="仿宋_GB2312" w:cs="仿宋_GB2312" w:eastAsia="仿宋_GB2312"/>
              </w:rPr>
              <w:t>项目进度计划方案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（包1）项目进度计划方案.docx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（包1）组织协调方案.docx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（包1）应急处置方案.docx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（包1）供货方案.docx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（包1）售后服务方案.docx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在最高限价限额之内满足招标文件要求且投标价格最低的投标报价为评标基准价，其价格分为30分。其他供应商的价格分按照下列公式计算：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根据供应商所投产品的技术资料、响应功能证明材料（包含但不限于经厂家确认的产品检验报告、技术证明材料等），从产品的技术指标、配置、性能等方面因素进行评审。 完全满足招标文件要求的，得9分；每负偏离一项扣1.5分，扣完为止。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提供供应商近三年（合同签订日期2023年03月01日至今，以合同签订时间为准）类似项目业绩，有一项得1分，最高得3分。（附合同复印件，不提供不得分）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（包2）业绩.docx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能提供所投产品的合法来源渠道证明文件（不限于产品制造商授权或销售协议或代理协议或原厂授权等）的计3分。 注：不提供不得分。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（包2）产品渠道.docx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9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（包2）质量保证措施.docx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（包2）人员配置方案.docx</w:t>
            </w:r>
          </w:p>
        </w:tc>
      </w:tr>
      <w:tr>
        <w:tc>
          <w:tcPr>
            <w:tcW w:type="dxa" w:w="831"/>
            <w:vMerge/>
          </w:tcPr>
          <w:p/>
        </w:tc>
        <w:tc>
          <w:tcPr>
            <w:tcW w:type="dxa" w:w="1661"/>
          </w:tcPr>
          <w:p>
            <w:pPr>
              <w:pStyle w:val="null3"/>
            </w:pPr>
            <w:r>
              <w:rPr>
                <w:rFonts w:ascii="仿宋_GB2312" w:hAnsi="仿宋_GB2312" w:cs="仿宋_GB2312" w:eastAsia="仿宋_GB2312"/>
              </w:rPr>
              <w:t>项目进度计划方案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（包2）项目进度计划方案.docx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（包2）组织协调方案.docx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（包2）应急处置方案.docx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（包2）供货方案.docx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（包2）售后服务方案.docx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在最高限价限额之内满足招标文件要求且投标价格最低的投标报价为评标基准价，其价格分为30分。其他供应商的价格分按照下列公式计算：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提供供应商近三年（合同签订日期2023年03月01日至今，以合同签订时间为准）类似项目业绩，有一项得1分，最高得3分。（附合同复印件，不提供不得分）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（包3）业绩.docx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（包3）人员配置方案.docx</w:t>
            </w:r>
          </w:p>
        </w:tc>
      </w:tr>
      <w:tr>
        <w:tc>
          <w:tcPr>
            <w:tcW w:type="dxa" w:w="831"/>
            <w:vMerge/>
          </w:tcPr>
          <w:p/>
        </w:tc>
        <w:tc>
          <w:tcPr>
            <w:tcW w:type="dxa" w:w="1661"/>
          </w:tcPr>
          <w:p>
            <w:pPr>
              <w:pStyle w:val="null3"/>
            </w:pPr>
            <w:r>
              <w:rPr>
                <w:rFonts w:ascii="仿宋_GB2312" w:hAnsi="仿宋_GB2312" w:cs="仿宋_GB2312" w:eastAsia="仿宋_GB2312"/>
              </w:rPr>
              <w:t>回收转运处置及台账建设方案</w:t>
            </w:r>
          </w:p>
        </w:tc>
        <w:tc>
          <w:tcPr>
            <w:tcW w:type="dxa" w:w="2492"/>
          </w:tcPr>
          <w:p>
            <w:pPr>
              <w:pStyle w:val="null3"/>
            </w:pPr>
            <w:r>
              <w:rPr>
                <w:rFonts w:ascii="仿宋_GB2312" w:hAnsi="仿宋_GB2312" w:cs="仿宋_GB2312" w:eastAsia="仿宋_GB2312"/>
              </w:rPr>
              <w:t>方案需包含①转运方案、②回收物处置方案、③台账建设，共3个核心模块。 上述3方面内容中，所有内容均详细完整，合理全面与项目需求吻合且有针对性，表述规范，清楚明了，含义准确且有具体详细的阐述且符合项目要求的得18分，每有一处存在不足扣1分，扣完为止。 （不足是指：涉及内容较粗略，未突出重点或无重点，未能体现出本项目的特点或与本项目实际需求不完全相符。） 上述3方面内容中，每有一方面内容缺失或存在与项目情况不匹配或存在重大缺陷导致采购项目的不能实现的则该方面扣6分，扣完为止。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（包3）回收转运处置及台账建设方案.docx</w:t>
            </w:r>
          </w:p>
        </w:tc>
      </w:tr>
      <w:tr>
        <w:tc>
          <w:tcPr>
            <w:tcW w:type="dxa" w:w="831"/>
            <w:vMerge/>
          </w:tcPr>
          <w:p/>
        </w:tc>
        <w:tc>
          <w:tcPr>
            <w:tcW w:type="dxa" w:w="1661"/>
          </w:tcPr>
          <w:p>
            <w:pPr>
              <w:pStyle w:val="null3"/>
            </w:pPr>
            <w:r>
              <w:rPr>
                <w:rFonts w:ascii="仿宋_GB2312" w:hAnsi="仿宋_GB2312" w:cs="仿宋_GB2312" w:eastAsia="仿宋_GB2312"/>
              </w:rPr>
              <w:t>项目进度计划方案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（包3）项目进度计划方案.docx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（包3）组织协调方案.docx</w:t>
            </w:r>
          </w:p>
        </w:tc>
      </w:tr>
      <w:tr>
        <w:tc>
          <w:tcPr>
            <w:tcW w:type="dxa" w:w="831"/>
            <w:vMerge/>
          </w:tcPr>
          <w:p/>
        </w:tc>
        <w:tc>
          <w:tcPr>
            <w:tcW w:type="dxa" w:w="1661"/>
          </w:tcPr>
          <w:p>
            <w:pPr>
              <w:pStyle w:val="null3"/>
            </w:pPr>
            <w:r>
              <w:rPr>
                <w:rFonts w:ascii="仿宋_GB2312" w:hAnsi="仿宋_GB2312" w:cs="仿宋_GB2312" w:eastAsia="仿宋_GB2312"/>
              </w:rPr>
              <w:t>安全及应急处置方案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（包3）安全及应急处置方案.docx</w:t>
            </w:r>
          </w:p>
        </w:tc>
      </w:tr>
      <w:tr>
        <w:tc>
          <w:tcPr>
            <w:tcW w:type="dxa" w:w="831"/>
            <w:vMerge/>
          </w:tcPr>
          <w:p/>
        </w:tc>
        <w:tc>
          <w:tcPr>
            <w:tcW w:type="dxa" w:w="1661"/>
          </w:tcPr>
          <w:p>
            <w:pPr>
              <w:pStyle w:val="null3"/>
            </w:pPr>
            <w:r>
              <w:rPr>
                <w:rFonts w:ascii="仿宋_GB2312" w:hAnsi="仿宋_GB2312" w:cs="仿宋_GB2312" w:eastAsia="仿宋_GB2312"/>
              </w:rPr>
              <w:t>数据及资料管理方案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（包3）数据及资料管理方案.docx</w:t>
            </w:r>
          </w:p>
        </w:tc>
      </w:tr>
      <w:tr>
        <w:tc>
          <w:tcPr>
            <w:tcW w:type="dxa" w:w="831"/>
            <w:vMerge/>
          </w:tcPr>
          <w:p/>
        </w:tc>
        <w:tc>
          <w:tcPr>
            <w:tcW w:type="dxa" w:w="1661"/>
          </w:tcPr>
          <w:p>
            <w:pPr>
              <w:pStyle w:val="null3"/>
            </w:pPr>
            <w:r>
              <w:rPr>
                <w:rFonts w:ascii="仿宋_GB2312" w:hAnsi="仿宋_GB2312" w:cs="仿宋_GB2312" w:eastAsia="仿宋_GB2312"/>
              </w:rPr>
              <w:t>拟投入的设备配置方案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（包3）拟投入的设备配置方案.docx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在最高限价限额之内满足招标文件要求且投标价格最低的投标报价为评标基准价，其价格分为30分。其他供应商的价格分按照下列公式计算：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详见附件：（包1）法定代表人授权书.docx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详见附件：（包1）资格证明文件.docx</w:t>
      </w:r>
    </w:p>
    <w:p>
      <w:pPr>
        <w:pStyle w:val="null3"/>
        <w:ind w:firstLine="960"/>
      </w:pPr>
      <w:r>
        <w:rPr>
          <w:rFonts w:ascii="仿宋_GB2312" w:hAnsi="仿宋_GB2312" w:cs="仿宋_GB2312" w:eastAsia="仿宋_GB2312"/>
        </w:rPr>
        <w:t>详见附件：（包1）分项报价表.docx</w:t>
      </w:r>
    </w:p>
    <w:p>
      <w:pPr>
        <w:pStyle w:val="null3"/>
        <w:ind w:firstLine="960"/>
      </w:pPr>
      <w:r>
        <w:rPr>
          <w:rFonts w:ascii="仿宋_GB2312" w:hAnsi="仿宋_GB2312" w:cs="仿宋_GB2312" w:eastAsia="仿宋_GB2312"/>
        </w:rPr>
        <w:t>详见附件：（包1）业绩.docx</w:t>
      </w:r>
    </w:p>
    <w:p>
      <w:pPr>
        <w:pStyle w:val="null3"/>
        <w:ind w:firstLine="960"/>
      </w:pPr>
      <w:r>
        <w:rPr>
          <w:rFonts w:ascii="仿宋_GB2312" w:hAnsi="仿宋_GB2312" w:cs="仿宋_GB2312" w:eastAsia="仿宋_GB2312"/>
        </w:rPr>
        <w:t>详见附件：（包1）产品渠道.docx</w:t>
      </w:r>
    </w:p>
    <w:p>
      <w:pPr>
        <w:pStyle w:val="null3"/>
        <w:ind w:firstLine="960"/>
      </w:pPr>
      <w:r>
        <w:rPr>
          <w:rFonts w:ascii="仿宋_GB2312" w:hAnsi="仿宋_GB2312" w:cs="仿宋_GB2312" w:eastAsia="仿宋_GB2312"/>
        </w:rPr>
        <w:t>详见附件：（包1）质量保证措施.docx</w:t>
      </w:r>
    </w:p>
    <w:p>
      <w:pPr>
        <w:pStyle w:val="null3"/>
        <w:ind w:firstLine="960"/>
      </w:pPr>
      <w:r>
        <w:rPr>
          <w:rFonts w:ascii="仿宋_GB2312" w:hAnsi="仿宋_GB2312" w:cs="仿宋_GB2312" w:eastAsia="仿宋_GB2312"/>
        </w:rPr>
        <w:t>详见附件：（包1）人员配置方案.docx</w:t>
      </w:r>
    </w:p>
    <w:p>
      <w:pPr>
        <w:pStyle w:val="null3"/>
        <w:ind w:firstLine="960"/>
      </w:pPr>
      <w:r>
        <w:rPr>
          <w:rFonts w:ascii="仿宋_GB2312" w:hAnsi="仿宋_GB2312" w:cs="仿宋_GB2312" w:eastAsia="仿宋_GB2312"/>
        </w:rPr>
        <w:t>详见附件：（包1）项目进度计划方案.docx</w:t>
      </w:r>
    </w:p>
    <w:p>
      <w:pPr>
        <w:pStyle w:val="null3"/>
        <w:ind w:firstLine="960"/>
      </w:pPr>
      <w:r>
        <w:rPr>
          <w:rFonts w:ascii="仿宋_GB2312" w:hAnsi="仿宋_GB2312" w:cs="仿宋_GB2312" w:eastAsia="仿宋_GB2312"/>
        </w:rPr>
        <w:t>详见附件：（包1）组织协调方案.docx</w:t>
      </w:r>
    </w:p>
    <w:p>
      <w:pPr>
        <w:pStyle w:val="null3"/>
        <w:ind w:firstLine="960"/>
      </w:pPr>
      <w:r>
        <w:rPr>
          <w:rFonts w:ascii="仿宋_GB2312" w:hAnsi="仿宋_GB2312" w:cs="仿宋_GB2312" w:eastAsia="仿宋_GB2312"/>
        </w:rPr>
        <w:t>详见附件：（包1）应急处置方案.docx</w:t>
      </w:r>
    </w:p>
    <w:p>
      <w:pPr>
        <w:pStyle w:val="null3"/>
        <w:ind w:firstLine="960"/>
      </w:pPr>
      <w:r>
        <w:rPr>
          <w:rFonts w:ascii="仿宋_GB2312" w:hAnsi="仿宋_GB2312" w:cs="仿宋_GB2312" w:eastAsia="仿宋_GB2312"/>
        </w:rPr>
        <w:t>详见附件：（包1）供货方案.docx</w:t>
      </w:r>
    </w:p>
    <w:p>
      <w:pPr>
        <w:pStyle w:val="null3"/>
        <w:ind w:firstLine="960"/>
      </w:pPr>
      <w:r>
        <w:rPr>
          <w:rFonts w:ascii="仿宋_GB2312" w:hAnsi="仿宋_GB2312" w:cs="仿宋_GB2312" w:eastAsia="仿宋_GB2312"/>
        </w:rPr>
        <w:t>详见附件：（包1）培训方案.docx</w:t>
      </w:r>
    </w:p>
    <w:p>
      <w:pPr>
        <w:pStyle w:val="null3"/>
        <w:ind w:firstLine="960"/>
      </w:pPr>
      <w:r>
        <w:rPr>
          <w:rFonts w:ascii="仿宋_GB2312" w:hAnsi="仿宋_GB2312" w:cs="仿宋_GB2312" w:eastAsia="仿宋_GB2312"/>
        </w:rPr>
        <w:t>详见附件：（包1）售后服务方案.docx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详见附件：（包1）供应商需要提供的其他资料.docx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详见附件：（包2）法定代表人授权书.docx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详见附件：（包2）资格证明文件.docx</w:t>
      </w:r>
    </w:p>
    <w:p>
      <w:pPr>
        <w:pStyle w:val="null3"/>
        <w:ind w:firstLine="960"/>
      </w:pPr>
      <w:r>
        <w:rPr>
          <w:rFonts w:ascii="仿宋_GB2312" w:hAnsi="仿宋_GB2312" w:cs="仿宋_GB2312" w:eastAsia="仿宋_GB2312"/>
        </w:rPr>
        <w:t>详见附件：（包2）分项报价表.docx</w:t>
      </w:r>
    </w:p>
    <w:p>
      <w:pPr>
        <w:pStyle w:val="null3"/>
        <w:ind w:firstLine="960"/>
      </w:pPr>
      <w:r>
        <w:rPr>
          <w:rFonts w:ascii="仿宋_GB2312" w:hAnsi="仿宋_GB2312" w:cs="仿宋_GB2312" w:eastAsia="仿宋_GB2312"/>
        </w:rPr>
        <w:t>详见附件：（包2）业绩.docx</w:t>
      </w:r>
    </w:p>
    <w:p>
      <w:pPr>
        <w:pStyle w:val="null3"/>
        <w:ind w:firstLine="960"/>
      </w:pPr>
      <w:r>
        <w:rPr>
          <w:rFonts w:ascii="仿宋_GB2312" w:hAnsi="仿宋_GB2312" w:cs="仿宋_GB2312" w:eastAsia="仿宋_GB2312"/>
        </w:rPr>
        <w:t>详见附件：（包2）产品渠道.docx</w:t>
      </w:r>
    </w:p>
    <w:p>
      <w:pPr>
        <w:pStyle w:val="null3"/>
        <w:ind w:firstLine="960"/>
      </w:pPr>
      <w:r>
        <w:rPr>
          <w:rFonts w:ascii="仿宋_GB2312" w:hAnsi="仿宋_GB2312" w:cs="仿宋_GB2312" w:eastAsia="仿宋_GB2312"/>
        </w:rPr>
        <w:t>详见附件：（包2）质量保证措施.docx</w:t>
      </w:r>
    </w:p>
    <w:p>
      <w:pPr>
        <w:pStyle w:val="null3"/>
        <w:ind w:firstLine="960"/>
      </w:pPr>
      <w:r>
        <w:rPr>
          <w:rFonts w:ascii="仿宋_GB2312" w:hAnsi="仿宋_GB2312" w:cs="仿宋_GB2312" w:eastAsia="仿宋_GB2312"/>
        </w:rPr>
        <w:t>详见附件：（包2）人员配置方案.docx</w:t>
      </w:r>
    </w:p>
    <w:p>
      <w:pPr>
        <w:pStyle w:val="null3"/>
        <w:ind w:firstLine="960"/>
      </w:pPr>
      <w:r>
        <w:rPr>
          <w:rFonts w:ascii="仿宋_GB2312" w:hAnsi="仿宋_GB2312" w:cs="仿宋_GB2312" w:eastAsia="仿宋_GB2312"/>
        </w:rPr>
        <w:t>详见附件：（包2）项目进度计划方案.docx</w:t>
      </w:r>
    </w:p>
    <w:p>
      <w:pPr>
        <w:pStyle w:val="null3"/>
        <w:ind w:firstLine="960"/>
      </w:pPr>
      <w:r>
        <w:rPr>
          <w:rFonts w:ascii="仿宋_GB2312" w:hAnsi="仿宋_GB2312" w:cs="仿宋_GB2312" w:eastAsia="仿宋_GB2312"/>
        </w:rPr>
        <w:t>详见附件：（包2）组织协调方案.docx</w:t>
      </w:r>
    </w:p>
    <w:p>
      <w:pPr>
        <w:pStyle w:val="null3"/>
        <w:ind w:firstLine="960"/>
      </w:pPr>
      <w:r>
        <w:rPr>
          <w:rFonts w:ascii="仿宋_GB2312" w:hAnsi="仿宋_GB2312" w:cs="仿宋_GB2312" w:eastAsia="仿宋_GB2312"/>
        </w:rPr>
        <w:t>详见附件：（包2）应急处置方案.docx</w:t>
      </w:r>
    </w:p>
    <w:p>
      <w:pPr>
        <w:pStyle w:val="null3"/>
        <w:ind w:firstLine="960"/>
      </w:pPr>
      <w:r>
        <w:rPr>
          <w:rFonts w:ascii="仿宋_GB2312" w:hAnsi="仿宋_GB2312" w:cs="仿宋_GB2312" w:eastAsia="仿宋_GB2312"/>
        </w:rPr>
        <w:t>详见附件：（包2）供货方案.docx</w:t>
      </w:r>
    </w:p>
    <w:p>
      <w:pPr>
        <w:pStyle w:val="null3"/>
        <w:ind w:firstLine="960"/>
      </w:pPr>
      <w:r>
        <w:rPr>
          <w:rFonts w:ascii="仿宋_GB2312" w:hAnsi="仿宋_GB2312" w:cs="仿宋_GB2312" w:eastAsia="仿宋_GB2312"/>
        </w:rPr>
        <w:t>详见附件：（包2）培训方案.docx</w:t>
      </w:r>
    </w:p>
    <w:p>
      <w:pPr>
        <w:pStyle w:val="null3"/>
        <w:ind w:firstLine="960"/>
      </w:pPr>
      <w:r>
        <w:rPr>
          <w:rFonts w:ascii="仿宋_GB2312" w:hAnsi="仿宋_GB2312" w:cs="仿宋_GB2312" w:eastAsia="仿宋_GB2312"/>
        </w:rPr>
        <w:t>详见附件：（包2）售后服务方案.docx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详见附件：（包2）供应商需要提供的其他资料.docx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详见附件：（包3）法定代表人授权书.docx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详见附件：（包3）资格证明文件.docx</w:t>
      </w:r>
    </w:p>
    <w:p>
      <w:pPr>
        <w:pStyle w:val="null3"/>
        <w:ind w:firstLine="960"/>
      </w:pPr>
      <w:r>
        <w:rPr>
          <w:rFonts w:ascii="仿宋_GB2312" w:hAnsi="仿宋_GB2312" w:cs="仿宋_GB2312" w:eastAsia="仿宋_GB2312"/>
        </w:rPr>
        <w:t>详见附件：（包3）分项报价表.docx</w:t>
      </w:r>
    </w:p>
    <w:p>
      <w:pPr>
        <w:pStyle w:val="null3"/>
        <w:ind w:firstLine="960"/>
      </w:pPr>
      <w:r>
        <w:rPr>
          <w:rFonts w:ascii="仿宋_GB2312" w:hAnsi="仿宋_GB2312" w:cs="仿宋_GB2312" w:eastAsia="仿宋_GB2312"/>
        </w:rPr>
        <w:t>详见附件：（包3）业绩.docx</w:t>
      </w:r>
    </w:p>
    <w:p>
      <w:pPr>
        <w:pStyle w:val="null3"/>
        <w:ind w:firstLine="960"/>
      </w:pPr>
      <w:r>
        <w:rPr>
          <w:rFonts w:ascii="仿宋_GB2312" w:hAnsi="仿宋_GB2312" w:cs="仿宋_GB2312" w:eastAsia="仿宋_GB2312"/>
        </w:rPr>
        <w:t>详见附件：（包3）人员配置方案.docx</w:t>
      </w:r>
    </w:p>
    <w:p>
      <w:pPr>
        <w:pStyle w:val="null3"/>
        <w:ind w:firstLine="960"/>
      </w:pPr>
      <w:r>
        <w:rPr>
          <w:rFonts w:ascii="仿宋_GB2312" w:hAnsi="仿宋_GB2312" w:cs="仿宋_GB2312" w:eastAsia="仿宋_GB2312"/>
        </w:rPr>
        <w:t>详见附件：（包3）回收转运处置及台账建设方案.docx</w:t>
      </w:r>
    </w:p>
    <w:p>
      <w:pPr>
        <w:pStyle w:val="null3"/>
        <w:ind w:firstLine="960"/>
      </w:pPr>
      <w:r>
        <w:rPr>
          <w:rFonts w:ascii="仿宋_GB2312" w:hAnsi="仿宋_GB2312" w:cs="仿宋_GB2312" w:eastAsia="仿宋_GB2312"/>
        </w:rPr>
        <w:t>详见附件：（包3）项目进度计划方案.docx</w:t>
      </w:r>
    </w:p>
    <w:p>
      <w:pPr>
        <w:pStyle w:val="null3"/>
        <w:ind w:firstLine="960"/>
      </w:pPr>
      <w:r>
        <w:rPr>
          <w:rFonts w:ascii="仿宋_GB2312" w:hAnsi="仿宋_GB2312" w:cs="仿宋_GB2312" w:eastAsia="仿宋_GB2312"/>
        </w:rPr>
        <w:t>详见附件：（包3）组织协调方案.docx</w:t>
      </w:r>
    </w:p>
    <w:p>
      <w:pPr>
        <w:pStyle w:val="null3"/>
        <w:ind w:firstLine="960"/>
      </w:pPr>
      <w:r>
        <w:rPr>
          <w:rFonts w:ascii="仿宋_GB2312" w:hAnsi="仿宋_GB2312" w:cs="仿宋_GB2312" w:eastAsia="仿宋_GB2312"/>
        </w:rPr>
        <w:t>详见附件：（包3）安全及应急处置方案.docx</w:t>
      </w:r>
    </w:p>
    <w:p>
      <w:pPr>
        <w:pStyle w:val="null3"/>
        <w:ind w:firstLine="960"/>
      </w:pPr>
      <w:r>
        <w:rPr>
          <w:rFonts w:ascii="仿宋_GB2312" w:hAnsi="仿宋_GB2312" w:cs="仿宋_GB2312" w:eastAsia="仿宋_GB2312"/>
        </w:rPr>
        <w:t>详见附件：（包3）数据及资料管理方案.docx</w:t>
      </w:r>
    </w:p>
    <w:p>
      <w:pPr>
        <w:pStyle w:val="null3"/>
        <w:ind w:firstLine="960"/>
      </w:pPr>
      <w:r>
        <w:rPr>
          <w:rFonts w:ascii="仿宋_GB2312" w:hAnsi="仿宋_GB2312" w:cs="仿宋_GB2312" w:eastAsia="仿宋_GB2312"/>
        </w:rPr>
        <w:t>详见附件：（包3）拟投入的设备配置方案.docx</w:t>
      </w:r>
    </w:p>
    <w:p>
      <w:pPr>
        <w:pStyle w:val="null3"/>
        <w:ind w:firstLine="960"/>
      </w:pPr>
      <w:r>
        <w:rPr>
          <w:rFonts w:ascii="仿宋_GB2312" w:hAnsi="仿宋_GB2312" w:cs="仿宋_GB2312" w:eastAsia="仿宋_GB2312"/>
        </w:rPr>
        <w:t>详见附件：（包3）服务承诺.docx</w:t>
      </w:r>
    </w:p>
    <w:p>
      <w:pPr>
        <w:pStyle w:val="null3"/>
        <w:ind w:firstLine="960"/>
      </w:pPr>
      <w:r>
        <w:rPr>
          <w:rFonts w:ascii="仿宋_GB2312" w:hAnsi="仿宋_GB2312" w:cs="仿宋_GB2312" w:eastAsia="仿宋_GB2312"/>
        </w:rPr>
        <w:t>详见附件：（包3）中小企业声明函.docx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详见附件：（包3）供应商需要提供的其他资料.docx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详见附件：拟签订合同模板（包1、包2、包3）.docx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