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版本号：LYHJ-2026-00220260311001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乾县2025年国土绿化“三区两带”困难立地直观坡面绿化补助项目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LYHJ-2026-002</w:t>
      </w:r>
      <w:r>
        <w:br/>
      </w:r>
      <w:r>
        <w:br/>
      </w:r>
      <w:r>
        <w:br/>
      </w:r>
    </w:p>
    <w:p>
      <w:pPr>
        <w:pStyle w:val="null3"/>
        <w:jc w:val="center"/>
        <w:outlineLvl w:val="2"/>
      </w:pPr>
      <w:r>
        <w:rPr>
          <w:rFonts w:ascii="仿宋_GB2312" w:hAnsi="仿宋_GB2312" w:cs="仿宋_GB2312" w:eastAsia="仿宋_GB2312"/>
          <w:sz w:val="28"/>
          <w:b/>
        </w:rPr>
        <w:t>乾县林业工作站</w:t>
      </w:r>
    </w:p>
    <w:p>
      <w:pPr>
        <w:pStyle w:val="null3"/>
        <w:jc w:val="center"/>
        <w:outlineLvl w:val="2"/>
      </w:pPr>
      <w:r>
        <w:rPr>
          <w:rFonts w:ascii="仿宋_GB2312" w:hAnsi="仿宋_GB2312" w:cs="仿宋_GB2312" w:eastAsia="仿宋_GB2312"/>
          <w:sz w:val="28"/>
          <w:b/>
        </w:rPr>
        <w:t>陕西朗屹恒基项目咨询管理有限公司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陕西朗屹恒基项目咨询管理有限公司</w:t>
      </w:r>
      <w:r>
        <w:rPr>
          <w:rFonts w:ascii="仿宋_GB2312" w:hAnsi="仿宋_GB2312" w:cs="仿宋_GB2312" w:eastAsia="仿宋_GB2312"/>
        </w:rPr>
        <w:t>（以下简称“代理机构”）受</w:t>
      </w:r>
      <w:r>
        <w:rPr>
          <w:rFonts w:ascii="仿宋_GB2312" w:hAnsi="仿宋_GB2312" w:cs="仿宋_GB2312" w:eastAsia="仿宋_GB2312"/>
        </w:rPr>
        <w:t>乾县林业工作站</w:t>
      </w:r>
      <w:r>
        <w:rPr>
          <w:rFonts w:ascii="仿宋_GB2312" w:hAnsi="仿宋_GB2312" w:cs="仿宋_GB2312" w:eastAsia="仿宋_GB2312"/>
        </w:rPr>
        <w:t>委托，拟对</w:t>
      </w:r>
      <w:r>
        <w:rPr>
          <w:rFonts w:ascii="仿宋_GB2312" w:hAnsi="仿宋_GB2312" w:cs="仿宋_GB2312" w:eastAsia="仿宋_GB2312"/>
        </w:rPr>
        <w:t>乾县2025年国土绿化“三区两带”困难立地直观坡面绿化补助项目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LYHJ-2026-002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乾县2025年国土绿化“三区两带”困难立地直观坡面绿化补助项目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乾县2025年国土绿化“三区两带"困难立地直观坡面绿化补助项目建设地点位于城关街道办夹道村、贾赵村、南北村、秦袁庄村、西街村，共1个街道办5个村(作业区)29个作业小班。本项目主要建设内容为人工造林600.00亩(具体实施内容以作业设计表及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采购包1（一标段）：属于专门面向中小企业采购。</w:t>
      </w:r>
    </w:p>
    <w:p>
      <w:pPr>
        <w:pStyle w:val="null3"/>
      </w:pPr>
      <w:r>
        <w:rPr>
          <w:rFonts w:ascii="仿宋_GB2312" w:hAnsi="仿宋_GB2312" w:cs="仿宋_GB2312" w:eastAsia="仿宋_GB2312"/>
        </w:rPr>
        <w:t>采购包2（二标段）：属于专门面向中小企业采购。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1、项目负责人：拟派项目负责人须具备林业或园林绿化相关专业中级（含）及以上职称，且无在建项目。</w:t>
      </w:r>
    </w:p>
    <w:p>
      <w:pPr>
        <w:pStyle w:val="null3"/>
      </w:pPr>
      <w:r>
        <w:rPr>
          <w:rFonts w:ascii="仿宋_GB2312" w:hAnsi="仿宋_GB2312" w:cs="仿宋_GB2312" w:eastAsia="仿宋_GB2312"/>
        </w:rPr>
        <w:t>2、授权委托：非法人参加磋商，须出具法定代表人授权书（附法定代表人、被授权人身份证复印件）及授权代表身份证；法定代表人参加磋商的，须提供法定代表人身份证明书及身份证。</w:t>
      </w:r>
    </w:p>
    <w:p>
      <w:pPr>
        <w:pStyle w:val="null3"/>
      </w:pPr>
      <w:r>
        <w:rPr>
          <w:rFonts w:ascii="仿宋_GB2312" w:hAnsi="仿宋_GB2312" w:cs="仿宋_GB2312" w:eastAsia="仿宋_GB2312"/>
        </w:rPr>
        <w:t>3、信用查询：供应商不得为“信用中国”网站（www.creditchina.gov.cn）中列入失信被执行人和重大税收违法失信主体名单的供应商，不得为中国政府采购网 （www.ccgp.gov.cn）政府采购严重违法失信行为记录名单中被财政部门禁止参加政府采购活动的供应商。</w:t>
      </w:r>
    </w:p>
    <w:p>
      <w:pPr>
        <w:pStyle w:val="null3"/>
      </w:pPr>
      <w:r>
        <w:rPr>
          <w:rFonts w:ascii="仿宋_GB2312" w:hAnsi="仿宋_GB2312" w:cs="仿宋_GB2312" w:eastAsia="仿宋_GB2312"/>
        </w:rPr>
        <w:t>4、企业关联声明：单位负责人为同一人或者存在直接控股、管理关系的不同投标人，不得参加同一招标项目的投标活动。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1、项目负责人：拟派项目负责人须具备林业或园林绿化相关专业中级（含）及以上职称，且无在建项目。</w:t>
      </w:r>
    </w:p>
    <w:p>
      <w:pPr>
        <w:pStyle w:val="null3"/>
      </w:pPr>
      <w:r>
        <w:rPr>
          <w:rFonts w:ascii="仿宋_GB2312" w:hAnsi="仿宋_GB2312" w:cs="仿宋_GB2312" w:eastAsia="仿宋_GB2312"/>
        </w:rPr>
        <w:t>2、授权委托：非法人参加磋商，须出具法定代表人授权书（附法定代表人、被授权人身份证复印件）及授权代表身份证；法定代表人参加磋商的，须提供法定代表人身份证明书及身份证。</w:t>
      </w:r>
    </w:p>
    <w:p>
      <w:pPr>
        <w:pStyle w:val="null3"/>
      </w:pPr>
      <w:r>
        <w:rPr>
          <w:rFonts w:ascii="仿宋_GB2312" w:hAnsi="仿宋_GB2312" w:cs="仿宋_GB2312" w:eastAsia="仿宋_GB2312"/>
        </w:rPr>
        <w:t>3、信用查询：供应商不得为“信用中国”网站（www.creditchina.gov.cn）中列入失信被执行人和重大税收违法失信主体名单的供应商，不得为中国政府采购网 （www.ccgp.gov.cn）政府采购严重违法失信行为记录名单中被财政部门禁止参加政府采购活动的供应商。</w:t>
      </w:r>
    </w:p>
    <w:p>
      <w:pPr>
        <w:pStyle w:val="null3"/>
      </w:pPr>
      <w:r>
        <w:rPr>
          <w:rFonts w:ascii="仿宋_GB2312" w:hAnsi="仿宋_GB2312" w:cs="仿宋_GB2312" w:eastAsia="仿宋_GB2312"/>
        </w:rPr>
        <w:t>4、企业关联声明：单位负责人为同一人或者存在直接控股、管理关系的不同投标人，不得参加同一招标项目的投标活动。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乾县林业工作站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乾县城关镇高庙巷53号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029-35531310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陕西朗屹恒基项目咨询管理有限公司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陕西省咸阳市秦都区滨河西路5号咸阳非金属矿研究设计院院内办公楼8楼中段中户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19299397951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吴翼臻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采购包1：1,070,453.00元</w:t>
            </w:r>
          </w:p>
          <w:p>
            <w:pPr>
              <w:pStyle w:val="null3"/>
            </w:pPr>
            <w:r>
              <w:rPr>
                <w:rFonts w:ascii="仿宋_GB2312" w:hAnsi="仿宋_GB2312" w:cs="仿宋_GB2312" w:eastAsia="仿宋_GB2312"/>
              </w:rPr>
              <w:t>采购包2：899,706.00元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成交金额，参照国家计委2002年颁发的《招标代理服务收费管理暂行办法》(计价格〔2002〕1980号)及《调整后的招标代理服务收费标准》(发改价格〔2011〕534号)的规定收取，代理服务费由成交单位在领取成交通知书前向代理公司支付。 开户行：中国农业银行咸阳中华广场支行 账号：26475001040028833 地址：陕西省咸阳市秦都区滨河西路5号咸阳非金属矿研究设计院院内办公楼8楼中段中户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乾县林业工作站</w:t>
      </w:r>
      <w:r>
        <w:rPr>
          <w:rFonts w:ascii="仿宋_GB2312" w:hAnsi="仿宋_GB2312" w:cs="仿宋_GB2312" w:eastAsia="仿宋_GB2312"/>
        </w:rPr>
        <w:t>和</w:t>
      </w:r>
      <w:r>
        <w:rPr>
          <w:rFonts w:ascii="仿宋_GB2312" w:hAnsi="仿宋_GB2312" w:cs="仿宋_GB2312" w:eastAsia="仿宋_GB2312"/>
        </w:rPr>
        <w:t>陕西朗屹恒基项目咨询管理有限公司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乾县林业工作站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陕西朗屹恒基项目咨询管理有限公司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乾县林业工作站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陕西朗屹恒基项目咨询管理有限公司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达到国家及行业相关验收规范合格标准。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达到国家及行业相关验收规范合格标准。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陕西朗屹恒基项目咨询管理有限公司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陕西朗屹恒基项目咨询管理有限公司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陕西朗屹恒基项目咨询管理有限公司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联系人：刘乐</w:t>
      </w:r>
    </w:p>
    <w:p>
      <w:pPr>
        <w:pStyle w:val="null3"/>
      </w:pPr>
      <w:r>
        <w:rPr>
          <w:rFonts w:ascii="仿宋_GB2312" w:hAnsi="仿宋_GB2312" w:cs="仿宋_GB2312" w:eastAsia="仿宋_GB2312"/>
        </w:rPr>
        <w:t>联系电话：19299397951</w:t>
      </w:r>
    </w:p>
    <w:p>
      <w:pPr>
        <w:pStyle w:val="null3"/>
      </w:pPr>
      <w:r>
        <w:rPr>
          <w:rFonts w:ascii="仿宋_GB2312" w:hAnsi="仿宋_GB2312" w:cs="仿宋_GB2312" w:eastAsia="仿宋_GB2312"/>
        </w:rPr>
        <w:t>地址：陕西省咸阳市秦都区滨河西路5号咸阳非金属矿研究设计院院内办公楼8楼中段中户</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乾县2025年国土绿化“三区两带”困难立地直观坡面绿化补助项目建设地点位于城关街道办夹道村、贾赵村、南北村、秦袁庄村、西街村，共1个街道办5个村（作业区）29个作业小班。本项目主要建设内容为人工造林600.00亩（具体实施内容以作业设计表及工程量清单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1,070,453.00</w:t>
      </w:r>
    </w:p>
    <w:p>
      <w:pPr>
        <w:pStyle w:val="null3"/>
      </w:pPr>
      <w:r>
        <w:rPr>
          <w:rFonts w:ascii="仿宋_GB2312" w:hAnsi="仿宋_GB2312" w:cs="仿宋_GB2312" w:eastAsia="仿宋_GB2312"/>
        </w:rPr>
        <w:t>采购包最高限价（元）: 1,070,453.00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一标造林服务326亩</w:t>
            </w:r>
          </w:p>
        </w:tc>
        <w:tc>
          <w:tcPr>
            <w:tcW w:type="dxa" w:w="831"/>
          </w:tcPr>
          <w:p>
            <w:pPr>
              <w:pStyle w:val="null3"/>
              <w:jc w:val="right"/>
            </w:pPr>
            <w:r>
              <w:rPr>
                <w:rFonts w:ascii="仿宋_GB2312" w:hAnsi="仿宋_GB2312" w:cs="仿宋_GB2312" w:eastAsia="仿宋_GB2312"/>
              </w:rPr>
              <w:t>326.00</w:t>
            </w:r>
          </w:p>
        </w:tc>
        <w:tc>
          <w:tcPr>
            <w:tcW w:type="dxa" w:w="831"/>
          </w:tcPr>
          <w:p>
            <w:pPr>
              <w:pStyle w:val="null3"/>
              <w:jc w:val="right"/>
            </w:pPr>
            <w:r>
              <w:rPr>
                <w:rFonts w:ascii="仿宋_GB2312" w:hAnsi="仿宋_GB2312" w:cs="仿宋_GB2312" w:eastAsia="仿宋_GB2312"/>
              </w:rPr>
              <w:t>1,070,453.00</w:t>
            </w:r>
          </w:p>
        </w:tc>
        <w:tc>
          <w:tcPr>
            <w:tcW w:type="dxa" w:w="831"/>
          </w:tcPr>
          <w:p>
            <w:pPr>
              <w:pStyle w:val="null3"/>
            </w:pPr>
            <w:r>
              <w:rPr>
                <w:rFonts w:ascii="仿宋_GB2312" w:hAnsi="仿宋_GB2312" w:cs="仿宋_GB2312" w:eastAsia="仿宋_GB2312"/>
              </w:rPr>
              <w:t>亩</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899,706.00</w:t>
      </w:r>
    </w:p>
    <w:p>
      <w:pPr>
        <w:pStyle w:val="null3"/>
      </w:pPr>
      <w:r>
        <w:rPr>
          <w:rFonts w:ascii="仿宋_GB2312" w:hAnsi="仿宋_GB2312" w:cs="仿宋_GB2312" w:eastAsia="仿宋_GB2312"/>
        </w:rPr>
        <w:t>采购包最高限价（元）: 899,706.00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二标造林274亩</w:t>
            </w:r>
          </w:p>
        </w:tc>
        <w:tc>
          <w:tcPr>
            <w:tcW w:type="dxa" w:w="831"/>
          </w:tcPr>
          <w:p>
            <w:pPr>
              <w:pStyle w:val="null3"/>
              <w:jc w:val="right"/>
            </w:pPr>
            <w:r>
              <w:rPr>
                <w:rFonts w:ascii="仿宋_GB2312" w:hAnsi="仿宋_GB2312" w:cs="仿宋_GB2312" w:eastAsia="仿宋_GB2312"/>
              </w:rPr>
              <w:t>274.00</w:t>
            </w:r>
          </w:p>
        </w:tc>
        <w:tc>
          <w:tcPr>
            <w:tcW w:type="dxa" w:w="831"/>
          </w:tcPr>
          <w:p>
            <w:pPr>
              <w:pStyle w:val="null3"/>
              <w:jc w:val="right"/>
            </w:pPr>
            <w:r>
              <w:rPr>
                <w:rFonts w:ascii="仿宋_GB2312" w:hAnsi="仿宋_GB2312" w:cs="仿宋_GB2312" w:eastAsia="仿宋_GB2312"/>
              </w:rPr>
              <w:t>899,706.00</w:t>
            </w:r>
          </w:p>
        </w:tc>
        <w:tc>
          <w:tcPr>
            <w:tcW w:type="dxa" w:w="831"/>
          </w:tcPr>
          <w:p>
            <w:pPr>
              <w:pStyle w:val="null3"/>
            </w:pPr>
            <w:r>
              <w:rPr>
                <w:rFonts w:ascii="仿宋_GB2312" w:hAnsi="仿宋_GB2312" w:cs="仿宋_GB2312" w:eastAsia="仿宋_GB2312"/>
              </w:rPr>
              <w:t>亩</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标的名称：一标造林服务326亩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color w:val="000000"/>
              </w:rPr>
              <w:t>一、项目简介</w:t>
            </w:r>
          </w:p>
          <w:p>
            <w:pPr>
              <w:pStyle w:val="null3"/>
              <w:ind w:firstLine="400"/>
              <w:jc w:val="left"/>
            </w:pPr>
            <w:r>
              <w:rPr>
                <w:rFonts w:ascii="仿宋_GB2312" w:hAnsi="仿宋_GB2312" w:cs="仿宋_GB2312" w:eastAsia="仿宋_GB2312"/>
                <w:sz w:val="20"/>
                <w:color w:val="000000"/>
              </w:rPr>
              <w:t>乾县</w:t>
            </w:r>
            <w:r>
              <w:rPr>
                <w:rFonts w:ascii="仿宋_GB2312" w:hAnsi="仿宋_GB2312" w:cs="仿宋_GB2312" w:eastAsia="仿宋_GB2312"/>
                <w:sz w:val="20"/>
                <w:color w:val="000000"/>
              </w:rPr>
              <w:t>2025年国土绿化“三区两带”困难立地直观坡面绿化补助项目（一标段）建设地点位于城关街道办夹道村、西街村，共1个街道办2个村，作业面积共计326亩（其中夹道村194</w:t>
            </w:r>
            <w:r>
              <w:rPr>
                <w:rFonts w:ascii="仿宋_GB2312" w:hAnsi="仿宋_GB2312" w:cs="仿宋_GB2312" w:eastAsia="仿宋_GB2312"/>
                <w:sz w:val="20"/>
                <w:color w:val="000000"/>
              </w:rPr>
              <w:t>亩，西街村</w:t>
            </w:r>
            <w:r>
              <w:rPr>
                <w:rFonts w:ascii="仿宋_GB2312" w:hAnsi="仿宋_GB2312" w:cs="仿宋_GB2312" w:eastAsia="仿宋_GB2312"/>
                <w:sz w:val="20"/>
                <w:color w:val="000000"/>
              </w:rPr>
              <w:t>132亩</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b/>
                <w:color w:val="000000"/>
              </w:rPr>
              <w:t>二、工期</w:t>
            </w:r>
          </w:p>
          <w:p>
            <w:pPr>
              <w:pStyle w:val="null3"/>
              <w:ind w:firstLine="400"/>
              <w:jc w:val="left"/>
            </w:pPr>
            <w:r>
              <w:rPr>
                <w:rFonts w:ascii="仿宋_GB2312" w:hAnsi="仿宋_GB2312" w:cs="仿宋_GB2312" w:eastAsia="仿宋_GB2312"/>
                <w:sz w:val="20"/>
                <w:color w:val="000000"/>
              </w:rPr>
              <w:t>30日历天。</w:t>
            </w:r>
          </w:p>
          <w:p>
            <w:pPr>
              <w:pStyle w:val="null3"/>
              <w:jc w:val="left"/>
            </w:pPr>
            <w:r>
              <w:rPr>
                <w:rFonts w:ascii="仿宋_GB2312" w:hAnsi="仿宋_GB2312" w:cs="仿宋_GB2312" w:eastAsia="仿宋_GB2312"/>
                <w:sz w:val="20"/>
                <w:b/>
                <w:color w:val="000000"/>
              </w:rPr>
              <w:t>三、造林模式</w:t>
            </w:r>
          </w:p>
          <w:p>
            <w:pPr>
              <w:pStyle w:val="null3"/>
              <w:ind w:firstLine="418"/>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树种配置：本着生态建设与景观建设相结合，以落叶和常绿树种混合为特点，依据适地适树的原则，本项目造林树选择女贞、油松、丛生月季。</w:t>
            </w:r>
          </w:p>
          <w:p>
            <w:pPr>
              <w:pStyle w:val="null3"/>
              <w:ind w:firstLine="418"/>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栽植模式：混交，女贞块状纯林，油松、丛生月季</w:t>
            </w:r>
            <w:r>
              <w:rPr>
                <w:rFonts w:ascii="仿宋_GB2312" w:hAnsi="仿宋_GB2312" w:cs="仿宋_GB2312" w:eastAsia="仿宋_GB2312"/>
                <w:sz w:val="20"/>
                <w:color w:val="000000"/>
              </w:rPr>
              <w:t>1：1混交。</w:t>
            </w:r>
          </w:p>
          <w:p>
            <w:pPr>
              <w:pStyle w:val="null3"/>
              <w:ind w:firstLine="418"/>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分树种造林面积：在坡度较缓，交通便利的地块栽植女贞，其他地块栽植油松和丛生月季。</w:t>
            </w:r>
          </w:p>
          <w:p>
            <w:pPr>
              <w:pStyle w:val="null3"/>
              <w:ind w:firstLine="418"/>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造林密度</w:t>
            </w:r>
            <w:r>
              <w:rPr>
                <w:rFonts w:ascii="仿宋_GB2312" w:hAnsi="仿宋_GB2312" w:cs="仿宋_GB2312" w:eastAsia="仿宋_GB2312"/>
                <w:sz w:val="20"/>
                <w:color w:val="000000"/>
              </w:rPr>
              <w:t>:根据《造林技术规程》（GB/T15776-2023）确定造林初植密度每亩74株，1株/穴。</w:t>
            </w:r>
          </w:p>
          <w:p>
            <w:pPr>
              <w:pStyle w:val="null3"/>
              <w:ind w:firstLine="418"/>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配置方式：采用品字形配置，株行距：</w:t>
            </w:r>
            <w:r>
              <w:rPr>
                <w:rFonts w:ascii="仿宋_GB2312" w:hAnsi="仿宋_GB2312" w:cs="仿宋_GB2312" w:eastAsia="仿宋_GB2312"/>
                <w:sz w:val="20"/>
                <w:color w:val="000000"/>
              </w:rPr>
              <w:t>3m×3m；种植点的位置应灵活掌握，应不拘于株行距的规定，但要保证单位面积上的种植点的数量。</w:t>
            </w:r>
          </w:p>
          <w:p>
            <w:pPr>
              <w:pStyle w:val="null3"/>
              <w:ind w:firstLine="418"/>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整地：鱼鳞坑整地，规格：长</w:t>
            </w:r>
            <w:r>
              <w:rPr>
                <w:rFonts w:ascii="仿宋_GB2312" w:hAnsi="仿宋_GB2312" w:cs="仿宋_GB2312" w:eastAsia="仿宋_GB2312"/>
                <w:sz w:val="20"/>
                <w:color w:val="000000"/>
              </w:rPr>
              <w:t>80cm×宽60cm×深60cm。</w:t>
            </w:r>
          </w:p>
          <w:p>
            <w:pPr>
              <w:pStyle w:val="null3"/>
              <w:ind w:firstLine="418"/>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种苗：女贞、油松、丛生月季。</w:t>
            </w:r>
          </w:p>
          <w:p>
            <w:pPr>
              <w:pStyle w:val="null3"/>
              <w:ind w:firstLine="418"/>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栽植方式：人工植苗造林，</w:t>
            </w:r>
            <w:r>
              <w:rPr>
                <w:rFonts w:ascii="仿宋_GB2312" w:hAnsi="仿宋_GB2312" w:cs="仿宋_GB2312" w:eastAsia="仿宋_GB2312"/>
                <w:sz w:val="20"/>
                <w:color w:val="000000"/>
              </w:rPr>
              <w:t>1株/穴。栽时分层覆土，保持根系舒展。</w:t>
            </w:r>
          </w:p>
          <w:p>
            <w:pPr>
              <w:pStyle w:val="null3"/>
              <w:ind w:firstLine="418"/>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补植：对栽植后成活率达不到标准的小班及时进行补植，补植苗木需要量按</w:t>
            </w:r>
            <w:r>
              <w:rPr>
                <w:rFonts w:ascii="仿宋_GB2312" w:hAnsi="仿宋_GB2312" w:cs="仿宋_GB2312" w:eastAsia="仿宋_GB2312"/>
                <w:sz w:val="20"/>
                <w:color w:val="000000"/>
              </w:rPr>
              <w:t>15%计算。</w:t>
            </w:r>
          </w:p>
          <w:p>
            <w:pPr>
              <w:pStyle w:val="null3"/>
              <w:ind w:firstLine="418"/>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抚育：造林后实行封护，严禁牲畜进入林地，造林后</w:t>
            </w:r>
            <w:r>
              <w:rPr>
                <w:rFonts w:ascii="仿宋_GB2312" w:hAnsi="仿宋_GB2312" w:cs="仿宋_GB2312" w:eastAsia="仿宋_GB2312"/>
                <w:sz w:val="20"/>
                <w:color w:val="000000"/>
              </w:rPr>
              <w:t>3年5次抚育，按1-2-2为序，抚育内容包括穴内松土除草，培土，病、虫、鼠、兔害防治等。</w:t>
            </w:r>
          </w:p>
          <w:p>
            <w:pPr>
              <w:pStyle w:val="null3"/>
              <w:jc w:val="left"/>
            </w:pPr>
            <w:r>
              <w:rPr>
                <w:rFonts w:ascii="仿宋_GB2312" w:hAnsi="仿宋_GB2312" w:cs="仿宋_GB2312" w:eastAsia="仿宋_GB2312"/>
                <w:sz w:val="20"/>
                <w:b/>
                <w:color w:val="000000"/>
              </w:rPr>
              <w:t>四、</w:t>
            </w:r>
            <w:r>
              <w:rPr>
                <w:rFonts w:ascii="仿宋_GB2312" w:hAnsi="仿宋_GB2312" w:cs="仿宋_GB2312" w:eastAsia="仿宋_GB2312"/>
                <w:sz w:val="20"/>
                <w:b/>
                <w:color w:val="000000"/>
              </w:rPr>
              <w:t>树种要求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1）树种</w:t>
            </w:r>
          </w:p>
          <w:p>
            <w:pPr>
              <w:pStyle w:val="null3"/>
              <w:ind w:firstLine="400"/>
              <w:jc w:val="left"/>
            </w:pPr>
            <w:r>
              <w:rPr>
                <w:rFonts w:ascii="仿宋_GB2312" w:hAnsi="仿宋_GB2312" w:cs="仿宋_GB2312" w:eastAsia="仿宋_GB2312"/>
                <w:sz w:val="20"/>
                <w:color w:val="000000"/>
              </w:rPr>
              <w:t>1、乡土树种，适合当地自然环境。</w:t>
            </w:r>
          </w:p>
          <w:p>
            <w:pPr>
              <w:pStyle w:val="null3"/>
              <w:ind w:firstLine="400"/>
              <w:jc w:val="left"/>
            </w:pPr>
            <w:r>
              <w:rPr>
                <w:rFonts w:ascii="仿宋_GB2312" w:hAnsi="仿宋_GB2312" w:cs="仿宋_GB2312" w:eastAsia="仿宋_GB2312"/>
                <w:sz w:val="20"/>
                <w:color w:val="000000"/>
              </w:rPr>
              <w:t>2、苗木易于采购，当地及周边有足够的苗木供应。</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2）苗木规格及要求</w:t>
            </w:r>
          </w:p>
          <w:p>
            <w:pPr>
              <w:pStyle w:val="null3"/>
              <w:ind w:firstLine="400"/>
              <w:jc w:val="left"/>
            </w:pPr>
            <w:r>
              <w:rPr>
                <w:rFonts w:ascii="仿宋_GB2312" w:hAnsi="仿宋_GB2312" w:cs="仿宋_GB2312" w:eastAsia="仿宋_GB2312"/>
                <w:sz w:val="20"/>
                <w:color w:val="000000"/>
              </w:rPr>
              <w:t>苗木规格为女贞胸径</w:t>
            </w:r>
            <w:r>
              <w:rPr>
                <w:rFonts w:ascii="仿宋_GB2312" w:hAnsi="仿宋_GB2312" w:cs="仿宋_GB2312" w:eastAsia="仿宋_GB2312"/>
                <w:sz w:val="20"/>
                <w:color w:val="000000"/>
              </w:rPr>
              <w:t>5cm；油松高度≥1.3m，冠幅≥60cm；丛生月季3年以上苗龄，苗高≥50cm，冠幅≥40cm；女贞和油松需带土球栽植，丛生月季裸根苗栽植。采购的苗木必须有“两证一签”且生长健壮，无损伤。</w:t>
            </w:r>
          </w:p>
          <w:p>
            <w:pPr>
              <w:pStyle w:val="null3"/>
              <w:jc w:val="left"/>
            </w:pPr>
            <w:r>
              <w:rPr>
                <w:rFonts w:ascii="仿宋_GB2312" w:hAnsi="仿宋_GB2312" w:cs="仿宋_GB2312" w:eastAsia="仿宋_GB2312"/>
                <w:sz w:val="20"/>
                <w:b/>
                <w:color w:val="000000"/>
              </w:rPr>
              <w:t>五、技术要求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1）整地</w:t>
            </w:r>
          </w:p>
          <w:p>
            <w:pPr>
              <w:pStyle w:val="null3"/>
              <w:ind w:firstLine="400"/>
              <w:jc w:val="left"/>
            </w:pPr>
            <w:r>
              <w:rPr>
                <w:rFonts w:ascii="仿宋_GB2312" w:hAnsi="仿宋_GB2312" w:cs="仿宋_GB2312" w:eastAsia="仿宋_GB2312"/>
                <w:sz w:val="20"/>
                <w:color w:val="000000"/>
              </w:rPr>
              <w:t>由于该项目作业区坡度较大，所以整地时要因地制宜。本次造林采取鱼鳞坑整地，坑穴规格长</w:t>
            </w:r>
            <w:r>
              <w:rPr>
                <w:rFonts w:ascii="仿宋_GB2312" w:hAnsi="仿宋_GB2312" w:cs="仿宋_GB2312" w:eastAsia="仿宋_GB2312"/>
                <w:sz w:val="20"/>
                <w:color w:val="000000"/>
              </w:rPr>
              <w:t>80厘米×宽60厘米×深60厘米挖坑时取土培于下方形成弧形围埂，埂顶中间高度0.2-0.3米且高于两侧，坑与坑中心点距离为3米，深度为0.6米。每个坑穴设计为单株种植单元，埂体拱形构造可引导径流形成非直线下泄路径。整地时一定要严格按照设计的要求进行整地，同时要尽量保护林地中不影响幼苗生长的原生植被，防止造成新的水土流失。</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2）栽植</w:t>
            </w:r>
          </w:p>
          <w:p>
            <w:pPr>
              <w:pStyle w:val="null3"/>
              <w:ind w:firstLine="400"/>
              <w:jc w:val="left"/>
            </w:pPr>
            <w:r>
              <w:rPr>
                <w:rFonts w:ascii="仿宋_GB2312" w:hAnsi="仿宋_GB2312" w:cs="仿宋_GB2312" w:eastAsia="仿宋_GB2312"/>
                <w:sz w:val="20"/>
                <w:color w:val="000000"/>
              </w:rPr>
              <w:t>采用植苗造林方法，每穴</w:t>
            </w:r>
            <w:r>
              <w:rPr>
                <w:rFonts w:ascii="仿宋_GB2312" w:hAnsi="仿宋_GB2312" w:cs="仿宋_GB2312" w:eastAsia="仿宋_GB2312"/>
                <w:sz w:val="20"/>
                <w:color w:val="000000"/>
              </w:rPr>
              <w:t>1株，栽植应做到苗端位正，根系舒展，深浅适当，覆土高度稍高于苗木根径5厘米为宜，分层踩实，保留15厘米左右深的坑，以利于蓄水保墒。栽植时要严格按照“一垫、二提、三埋、四踩”的要求进行认真栽植。由于作业区土壤条件较差，本次增加坑穴换土，栽植回填土全部选择外购黄土入穴，为林木生长提供好的土壤，以保证苗木成活率。</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3）浇水</w:t>
            </w:r>
          </w:p>
          <w:p>
            <w:pPr>
              <w:pStyle w:val="null3"/>
              <w:ind w:firstLine="400"/>
              <w:jc w:val="left"/>
            </w:pPr>
            <w:r>
              <w:rPr>
                <w:rFonts w:ascii="仿宋_GB2312" w:hAnsi="仿宋_GB2312" w:cs="仿宋_GB2312" w:eastAsia="仿宋_GB2312"/>
                <w:sz w:val="20"/>
                <w:color w:val="000000"/>
              </w:rPr>
              <w:t>苗木栽植后应及时浇足、浇透定根水。由于造林地坡度较陡，应采取合理的灌溉方式。浇水后，尽量利用有机覆盖物等铺在坑穴表面，可有效减少蒸腾作用，起到保水保墒的作用。浇水不少于</w:t>
            </w:r>
            <w:r>
              <w:rPr>
                <w:rFonts w:ascii="仿宋_GB2312" w:hAnsi="仿宋_GB2312" w:cs="仿宋_GB2312" w:eastAsia="仿宋_GB2312"/>
                <w:sz w:val="20"/>
                <w:color w:val="000000"/>
              </w:rPr>
              <w:t>2次/年。如遇极端干旱天气，要增加浇水的次数，保障苗木不因干旱而死亡。浇水后鱼鳞坑内容易引起土壤板结，通气不良，要增加松土次数。</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4）抗旱造林技术应用</w:t>
            </w:r>
          </w:p>
          <w:p>
            <w:pPr>
              <w:pStyle w:val="null3"/>
              <w:ind w:firstLine="400"/>
              <w:jc w:val="left"/>
            </w:pPr>
            <w:r>
              <w:rPr>
                <w:rFonts w:ascii="仿宋_GB2312" w:hAnsi="仿宋_GB2312" w:cs="仿宋_GB2312" w:eastAsia="仿宋_GB2312"/>
                <w:sz w:val="20"/>
                <w:color w:val="000000"/>
              </w:rPr>
              <w:t>为确保造林成活率，提高造林质量，造林时要应用</w:t>
            </w:r>
            <w:r>
              <w:rPr>
                <w:rFonts w:ascii="仿宋_GB2312" w:hAnsi="仿宋_GB2312" w:cs="仿宋_GB2312" w:eastAsia="仿宋_GB2312"/>
                <w:sz w:val="20"/>
                <w:color w:val="000000"/>
              </w:rPr>
              <w:t>GGR、保水剂等抗旱实用技术促进苗木生长。造林所需的苗木应做到随起随栽，确需调运的应采取相应的保护措施，以减少运输途中苗木的损伤和水分的丧失，提高造林成活率。</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5）成活率、保存率的调查</w:t>
            </w:r>
          </w:p>
          <w:p>
            <w:pPr>
              <w:pStyle w:val="null3"/>
              <w:ind w:firstLine="400"/>
              <w:jc w:val="left"/>
            </w:pPr>
            <w:r>
              <w:rPr>
                <w:rFonts w:ascii="仿宋_GB2312" w:hAnsi="仿宋_GB2312" w:cs="仿宋_GB2312" w:eastAsia="仿宋_GB2312"/>
                <w:sz w:val="20"/>
                <w:color w:val="000000"/>
              </w:rPr>
              <w:t>成活率调查应在经过一个生长季节后进行，成活率调查时间在次年秋季进行。调查方法是在当年所有栽植小班内选设具有代表性的标准地，分别计数成活与死亡株数。调查结果分别按成活率</w:t>
            </w:r>
            <w:r>
              <w:rPr>
                <w:rFonts w:ascii="仿宋_GB2312" w:hAnsi="仿宋_GB2312" w:cs="仿宋_GB2312" w:eastAsia="仿宋_GB2312"/>
                <w:sz w:val="20"/>
                <w:color w:val="000000"/>
              </w:rPr>
              <w:t>85%以上、41—85%、41%以下三级统计。成活率在41%以下的必须重新实施，成活率在41—84%的按初植密度必须及时进行补植。</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6）抚育</w:t>
            </w:r>
          </w:p>
          <w:p>
            <w:pPr>
              <w:pStyle w:val="null3"/>
              <w:ind w:firstLine="400"/>
              <w:jc w:val="left"/>
            </w:pPr>
            <w:r>
              <w:rPr>
                <w:rFonts w:ascii="仿宋_GB2312" w:hAnsi="仿宋_GB2312" w:cs="仿宋_GB2312" w:eastAsia="仿宋_GB2312"/>
                <w:sz w:val="20"/>
                <w:color w:val="000000"/>
              </w:rPr>
              <w:t>抚育是指在栽植后一段时间里所进行的各种技术措施。新栽树木一般要经历缓苗、扎根、生长并逐步进入速生的过程，对以后林木快速生长影响极大。抚育的根本任务在于为幼树提供一个优越的生长环境，满足幼树对水、肥、气、光、热的要求。通过松土、除草、扩穴等改善土壤理化性质，给幼苗幼树创造一个良好的生长环境。造林后</w:t>
            </w:r>
            <w:r>
              <w:rPr>
                <w:rFonts w:ascii="仿宋_GB2312" w:hAnsi="仿宋_GB2312" w:cs="仿宋_GB2312" w:eastAsia="仿宋_GB2312"/>
                <w:sz w:val="20"/>
                <w:color w:val="000000"/>
              </w:rPr>
              <w:t>3年内抚育5 次，抚育的主要内容是松土、除草、除萌、扩穴、砍灌、培土、整枝、林业有害生物防治等。松土除草要做到“三不伤、二干净、一培土”，即不伤根、不伤皮、不伤树梢；杂灌草除干净，把除掉的杂草覆盖到树根附近，以减少水分蒸发和增加有机质。松土深度要适当，做到里浅外深，栽植后第一年浅，以后逐年加深。发现病、虫、鼠、兔等林业有害生物要及时进行防治。</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7）管护</w:t>
            </w:r>
          </w:p>
          <w:p>
            <w:pPr>
              <w:pStyle w:val="null3"/>
              <w:ind w:firstLine="400"/>
              <w:jc w:val="left"/>
            </w:pPr>
            <w:r>
              <w:rPr>
                <w:rFonts w:ascii="仿宋_GB2312" w:hAnsi="仿宋_GB2312" w:cs="仿宋_GB2312" w:eastAsia="仿宋_GB2312"/>
                <w:sz w:val="20"/>
                <w:color w:val="000000"/>
              </w:rPr>
              <w:t>栽植后，要切实加强对项目区的管护工作，项目建设单位要和作业区周边涉及的镇、行政村签订管护责任书，作业区要设立专职或兼职护林员。严禁在工程区附近烧荒，采石，严禁牲畜进入项目区，一经发现，严格按照《森林法》的有关条款进行处罚。</w:t>
            </w:r>
          </w:p>
          <w:p>
            <w:pPr>
              <w:pStyle w:val="null3"/>
              <w:jc w:val="left"/>
            </w:pPr>
            <w:r>
              <w:rPr>
                <w:rFonts w:ascii="仿宋_GB2312" w:hAnsi="仿宋_GB2312" w:cs="仿宋_GB2312" w:eastAsia="仿宋_GB2312"/>
                <w:sz w:val="20"/>
                <w:b/>
                <w:color w:val="000000"/>
              </w:rPr>
              <w:t>六、其它说明</w:t>
            </w:r>
          </w:p>
          <w:p>
            <w:pPr>
              <w:pStyle w:val="null3"/>
              <w:ind w:firstLine="400"/>
              <w:jc w:val="left"/>
            </w:pPr>
            <w:r>
              <w:rPr>
                <w:rFonts w:ascii="仿宋_GB2312" w:hAnsi="仿宋_GB2312" w:cs="仿宋_GB2312" w:eastAsia="仿宋_GB2312"/>
                <w:sz w:val="18"/>
                <w:color w:val="000000"/>
              </w:rPr>
              <w:t>1、合同总价包括但不限于人工费、材料费、机械费、管理费、利润、措施费、规费、税金、苗木养护费、抚育以及所有风险等完成本项目内容所包含的全部费用。投标报价为供应商在投标文件中提出各项支付金额的总和。</w:t>
            </w:r>
          </w:p>
          <w:p>
            <w:pPr>
              <w:pStyle w:val="null3"/>
            </w:pPr>
            <w:r>
              <w:rPr>
                <w:rFonts w:ascii="仿宋_GB2312" w:hAnsi="仿宋_GB2312" w:cs="仿宋_GB2312" w:eastAsia="仿宋_GB2312"/>
                <w:sz w:val="18"/>
                <w:color w:val="000000"/>
              </w:rPr>
              <w:t xml:space="preserve">   2、最终结算以审计结果为准。</w:t>
            </w:r>
          </w:p>
          <w:p>
            <w:pPr>
              <w:pStyle w:val="null3"/>
            </w:pPr>
            <w:r>
              <w:rPr>
                <w:rFonts w:ascii="仿宋_GB2312" w:hAnsi="仿宋_GB2312" w:cs="仿宋_GB2312" w:eastAsia="仿宋_GB2312"/>
                <w:sz w:val="18"/>
                <w:color w:val="000000"/>
              </w:rPr>
              <w:t xml:space="preserve">   3、本采购文件附件中的合同文件仅供参考。</w:t>
            </w:r>
          </w:p>
          <w:tbl>
            <w:tblPr>
              <w:tblBorders>
                <w:top w:val="single"/>
                <w:left w:val="single"/>
                <w:bottom w:val="single"/>
                <w:right w:val="single"/>
                <w:insideH w:val="single"/>
                <w:insideV w:val="single"/>
              </w:tblBorders>
            </w:tblPr>
            <w:tblGrid>
              <w:gridCol w:w="119"/>
              <w:gridCol w:w="83"/>
              <w:gridCol w:w="161"/>
              <w:gridCol w:w="119"/>
              <w:gridCol w:w="94"/>
              <w:gridCol w:w="189"/>
              <w:gridCol w:w="156"/>
              <w:gridCol w:w="100"/>
              <w:gridCol w:w="100"/>
              <w:gridCol w:w="89"/>
              <w:gridCol w:w="153"/>
              <w:gridCol w:w="122"/>
              <w:gridCol w:w="133"/>
              <w:gridCol w:w="192"/>
              <w:gridCol w:w="103"/>
              <w:gridCol w:w="97"/>
              <w:gridCol w:w="122"/>
              <w:gridCol w:w="189"/>
              <w:gridCol w:w="80"/>
              <w:gridCol w:w="108"/>
            </w:tblGrid>
            <w:tr>
              <w:tc>
                <w:tcPr>
                  <w:tcW w:type="dxa" w:w="2509"/>
                  <w:gridSpan w:val="20"/>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 xml:space="preserve">乾县2025年国土绿化“三区两带 </w:t>
                  </w:r>
                  <w:r>
                    <w:rPr>
                      <w:rFonts w:ascii="仿宋_GB2312" w:hAnsi="仿宋_GB2312" w:cs="仿宋_GB2312" w:eastAsia="仿宋_GB2312"/>
                      <w:sz w:val="24"/>
                      <w:b/>
                      <w:color w:val="000000"/>
                    </w:rPr>
                    <w:t>”困难立地直观坡面绿化补助项目小班设计表（一标段）</w:t>
                  </w:r>
                </w:p>
              </w:tc>
            </w:tr>
            <w:tr>
              <w:tc>
                <w:tcPr>
                  <w:tcW w:type="dxa" w:w="1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作业区</w:t>
                  </w:r>
                </w:p>
              </w:tc>
              <w:tc>
                <w:tcPr>
                  <w:tcW w:type="dxa" w:w="8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小班</w:t>
                  </w:r>
                </w:p>
              </w:tc>
              <w:tc>
                <w:tcPr>
                  <w:tcW w:type="dxa" w:w="16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小班面积(亩)</w:t>
                  </w:r>
                </w:p>
              </w:tc>
              <w:tc>
                <w:tcPr>
                  <w:tcW w:type="dxa" w:w="1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可作业面积(亩)</w:t>
                  </w:r>
                </w:p>
              </w:tc>
              <w:tc>
                <w:tcPr>
                  <w:tcW w:type="dxa" w:w="9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林地权属</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前地类</w:t>
                  </w:r>
                </w:p>
              </w:tc>
              <w:tc>
                <w:tcPr>
                  <w:tcW w:type="dxa" w:w="15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地貌</w:t>
                  </w:r>
                </w:p>
              </w:tc>
              <w:tc>
                <w:tcPr>
                  <w:tcW w:type="dxa" w:w="10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坡向</w:t>
                  </w:r>
                </w:p>
              </w:tc>
              <w:tc>
                <w:tcPr>
                  <w:tcW w:type="dxa" w:w="10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坡位</w:t>
                  </w:r>
                </w:p>
              </w:tc>
              <w:tc>
                <w:tcPr>
                  <w:tcW w:type="dxa" w:w="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坡度</w:t>
                  </w:r>
                </w:p>
              </w:tc>
              <w:tc>
                <w:tcPr>
                  <w:tcW w:type="dxa" w:w="15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土壤种类</w:t>
                  </w:r>
                </w:p>
              </w:tc>
              <w:tc>
                <w:tcPr>
                  <w:tcW w:type="dxa" w:w="12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土壤厚度(厘米)</w:t>
                  </w:r>
                </w:p>
              </w:tc>
              <w:tc>
                <w:tcPr>
                  <w:tcW w:type="dxa" w:w="1024"/>
                  <w:gridSpan w:val="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造林设计内容</w:t>
                  </w:r>
                </w:p>
              </w:tc>
            </w:tr>
            <w:tr>
              <w:tc>
                <w:tcPr>
                  <w:tcW w:type="dxa" w:w="119"/>
                  <w:vMerge/>
                  <w:tcBorders>
                    <w:top w:val="single" w:color="000000" w:sz="4"/>
                    <w:left w:val="single" w:color="000000" w:sz="4"/>
                    <w:bottom w:val="single" w:color="000000" w:sz="4"/>
                    <w:right w:val="single" w:color="000000" w:sz="4"/>
                  </w:tcBorders>
                </w:tcPr>
                <w:p/>
              </w:tc>
              <w:tc>
                <w:tcPr>
                  <w:tcW w:type="dxa" w:w="83"/>
                  <w:vMerge/>
                  <w:tcBorders>
                    <w:top w:val="single" w:color="000000" w:sz="4"/>
                    <w:left w:val="single" w:color="000000" w:sz="4"/>
                    <w:bottom w:val="single" w:color="000000" w:sz="4"/>
                    <w:right w:val="single" w:color="000000" w:sz="4"/>
                  </w:tcBorders>
                </w:tcPr>
                <w:p/>
              </w:tc>
              <w:tc>
                <w:tcPr>
                  <w:tcW w:type="dxa" w:w="161"/>
                  <w:vMerge/>
                  <w:tcBorders>
                    <w:top w:val="single" w:color="000000" w:sz="4"/>
                    <w:left w:val="single" w:color="000000" w:sz="4"/>
                    <w:bottom w:val="single" w:color="000000" w:sz="4"/>
                    <w:right w:val="single" w:color="000000" w:sz="4"/>
                  </w:tcBorders>
                </w:tcPr>
                <w:p/>
              </w:tc>
              <w:tc>
                <w:tcPr>
                  <w:tcW w:type="dxa" w:w="119"/>
                  <w:vMerge/>
                  <w:tcBorders>
                    <w:top w:val="single" w:color="000000" w:sz="4"/>
                    <w:left w:val="single" w:color="000000" w:sz="4"/>
                    <w:bottom w:val="single" w:color="000000" w:sz="4"/>
                    <w:right w:val="single" w:color="000000" w:sz="4"/>
                  </w:tcBorders>
                </w:tcPr>
                <w:p/>
              </w:tc>
              <w:tc>
                <w:tcPr>
                  <w:tcW w:type="dxa" w:w="94"/>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56"/>
                  <w:vMerge/>
                  <w:tcBorders>
                    <w:top w:val="single" w:color="000000" w:sz="4"/>
                    <w:left w:val="single" w:color="000000" w:sz="4"/>
                    <w:bottom w:val="single" w:color="000000" w:sz="4"/>
                    <w:right w:val="single" w:color="000000" w:sz="4"/>
                  </w:tcBorders>
                </w:tcPr>
                <w:p/>
              </w:tc>
              <w:tc>
                <w:tcPr>
                  <w:tcW w:type="dxa" w:w="100"/>
                  <w:vMerge/>
                  <w:tcBorders>
                    <w:top w:val="single" w:color="000000" w:sz="4"/>
                    <w:left w:val="single" w:color="000000" w:sz="4"/>
                    <w:bottom w:val="single" w:color="000000" w:sz="4"/>
                    <w:right w:val="single" w:color="000000" w:sz="4"/>
                  </w:tcBorders>
                </w:tcPr>
                <w:p/>
              </w:tc>
              <w:tc>
                <w:tcPr>
                  <w:tcW w:type="dxa" w:w="100"/>
                  <w:vMerge/>
                  <w:tcBorders>
                    <w:top w:val="single" w:color="000000" w:sz="4"/>
                    <w:left w:val="single" w:color="000000" w:sz="4"/>
                    <w:bottom w:val="single" w:color="000000" w:sz="4"/>
                    <w:right w:val="single" w:color="000000" w:sz="4"/>
                  </w:tcBorders>
                </w:tcPr>
                <w:p/>
              </w:tc>
              <w:tc>
                <w:tcPr>
                  <w:tcW w:type="dxa" w:w="89"/>
                  <w:vMerge/>
                  <w:tcBorders>
                    <w:top w:val="single" w:color="000000" w:sz="4"/>
                    <w:left w:val="single" w:color="000000" w:sz="4"/>
                    <w:bottom w:val="single" w:color="000000" w:sz="4"/>
                    <w:right w:val="single" w:color="000000" w:sz="4"/>
                  </w:tcBorders>
                </w:tcPr>
                <w:p/>
              </w:tc>
              <w:tc>
                <w:tcPr>
                  <w:tcW w:type="dxa" w:w="153"/>
                  <w:vMerge/>
                  <w:tcBorders>
                    <w:top w:val="single" w:color="000000" w:sz="4"/>
                    <w:left w:val="single" w:color="000000" w:sz="4"/>
                    <w:bottom w:val="single" w:color="000000" w:sz="4"/>
                    <w:right w:val="single" w:color="000000" w:sz="4"/>
                  </w:tcBorders>
                </w:tcPr>
                <w:p/>
              </w:tc>
              <w:tc>
                <w:tcPr>
                  <w:tcW w:type="dxa" w:w="122"/>
                  <w:vMerge/>
                  <w:tcBorders>
                    <w:top w:val="single" w:color="000000" w:sz="4"/>
                    <w:left w:val="single" w:color="000000" w:sz="4"/>
                    <w:bottom w:val="single" w:color="000000" w:sz="4"/>
                    <w:right w:val="single" w:color="000000" w:sz="4"/>
                  </w:tcBorders>
                </w:tcPr>
                <w:p/>
              </w:tc>
              <w:tc>
                <w:tcPr>
                  <w:tcW w:type="dxa" w:w="13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林种</w:t>
                  </w:r>
                </w:p>
              </w:tc>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栽植树种</w:t>
                  </w:r>
                </w:p>
              </w:tc>
              <w:tc>
                <w:tcPr>
                  <w:tcW w:type="dxa" w:w="10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株行距(米)</w:t>
                  </w:r>
                </w:p>
              </w:tc>
              <w:tc>
                <w:tcPr>
                  <w:tcW w:type="dxa" w:w="9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造林</w:t>
                  </w:r>
                  <w:r>
                    <w:br/>
                  </w:r>
                  <w:r>
                    <w:rPr>
                      <w:rFonts w:ascii="仿宋_GB2312" w:hAnsi="仿宋_GB2312" w:cs="仿宋_GB2312" w:eastAsia="仿宋_GB2312"/>
                      <w:sz w:val="18"/>
                      <w:color w:val="000000"/>
                    </w:rPr>
                    <w:t xml:space="preserve"> 方式</w:t>
                  </w:r>
                </w:p>
              </w:tc>
              <w:tc>
                <w:tcPr>
                  <w:tcW w:type="dxa" w:w="31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整地</w:t>
                  </w:r>
                </w:p>
              </w:tc>
              <w:tc>
                <w:tcPr>
                  <w:tcW w:type="dxa" w:w="18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抚育</w:t>
                  </w:r>
                </w:p>
              </w:tc>
            </w:tr>
            <w:tr>
              <w:tc>
                <w:tcPr>
                  <w:tcW w:type="dxa" w:w="119"/>
                  <w:vMerge/>
                  <w:tcBorders>
                    <w:top w:val="single" w:color="000000" w:sz="4"/>
                    <w:left w:val="single" w:color="000000" w:sz="4"/>
                    <w:bottom w:val="single" w:color="000000" w:sz="4"/>
                    <w:right w:val="single" w:color="000000" w:sz="4"/>
                  </w:tcBorders>
                </w:tcPr>
                <w:p/>
              </w:tc>
              <w:tc>
                <w:tcPr>
                  <w:tcW w:type="dxa" w:w="83"/>
                  <w:vMerge/>
                  <w:tcBorders>
                    <w:top w:val="single" w:color="000000" w:sz="4"/>
                    <w:left w:val="single" w:color="000000" w:sz="4"/>
                    <w:bottom w:val="single" w:color="000000" w:sz="4"/>
                    <w:right w:val="single" w:color="000000" w:sz="4"/>
                  </w:tcBorders>
                </w:tcPr>
                <w:p/>
              </w:tc>
              <w:tc>
                <w:tcPr>
                  <w:tcW w:type="dxa" w:w="161"/>
                  <w:vMerge/>
                  <w:tcBorders>
                    <w:top w:val="single" w:color="000000" w:sz="4"/>
                    <w:left w:val="single" w:color="000000" w:sz="4"/>
                    <w:bottom w:val="single" w:color="000000" w:sz="4"/>
                    <w:right w:val="single" w:color="000000" w:sz="4"/>
                  </w:tcBorders>
                </w:tcPr>
                <w:p/>
              </w:tc>
              <w:tc>
                <w:tcPr>
                  <w:tcW w:type="dxa" w:w="119"/>
                  <w:vMerge/>
                  <w:tcBorders>
                    <w:top w:val="single" w:color="000000" w:sz="4"/>
                    <w:left w:val="single" w:color="000000" w:sz="4"/>
                    <w:bottom w:val="single" w:color="000000" w:sz="4"/>
                    <w:right w:val="single" w:color="000000" w:sz="4"/>
                  </w:tcBorders>
                </w:tcPr>
                <w:p/>
              </w:tc>
              <w:tc>
                <w:tcPr>
                  <w:tcW w:type="dxa" w:w="94"/>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56"/>
                  <w:vMerge/>
                  <w:tcBorders>
                    <w:top w:val="single" w:color="000000" w:sz="4"/>
                    <w:left w:val="single" w:color="000000" w:sz="4"/>
                    <w:bottom w:val="single" w:color="000000" w:sz="4"/>
                    <w:right w:val="single" w:color="000000" w:sz="4"/>
                  </w:tcBorders>
                </w:tcPr>
                <w:p/>
              </w:tc>
              <w:tc>
                <w:tcPr>
                  <w:tcW w:type="dxa" w:w="100"/>
                  <w:vMerge/>
                  <w:tcBorders>
                    <w:top w:val="single" w:color="000000" w:sz="4"/>
                    <w:left w:val="single" w:color="000000" w:sz="4"/>
                    <w:bottom w:val="single" w:color="000000" w:sz="4"/>
                    <w:right w:val="single" w:color="000000" w:sz="4"/>
                  </w:tcBorders>
                </w:tcPr>
                <w:p/>
              </w:tc>
              <w:tc>
                <w:tcPr>
                  <w:tcW w:type="dxa" w:w="100"/>
                  <w:vMerge/>
                  <w:tcBorders>
                    <w:top w:val="single" w:color="000000" w:sz="4"/>
                    <w:left w:val="single" w:color="000000" w:sz="4"/>
                    <w:bottom w:val="single" w:color="000000" w:sz="4"/>
                    <w:right w:val="single" w:color="000000" w:sz="4"/>
                  </w:tcBorders>
                </w:tcPr>
                <w:p/>
              </w:tc>
              <w:tc>
                <w:tcPr>
                  <w:tcW w:type="dxa" w:w="89"/>
                  <w:vMerge/>
                  <w:tcBorders>
                    <w:top w:val="single" w:color="000000" w:sz="4"/>
                    <w:left w:val="single" w:color="000000" w:sz="4"/>
                    <w:bottom w:val="single" w:color="000000" w:sz="4"/>
                    <w:right w:val="single" w:color="000000" w:sz="4"/>
                  </w:tcBorders>
                </w:tcPr>
                <w:p/>
              </w:tc>
              <w:tc>
                <w:tcPr>
                  <w:tcW w:type="dxa" w:w="153"/>
                  <w:vMerge/>
                  <w:tcBorders>
                    <w:top w:val="single" w:color="000000" w:sz="4"/>
                    <w:left w:val="single" w:color="000000" w:sz="4"/>
                    <w:bottom w:val="single" w:color="000000" w:sz="4"/>
                    <w:right w:val="single" w:color="000000" w:sz="4"/>
                  </w:tcBorders>
                </w:tcPr>
                <w:p/>
              </w:tc>
              <w:tc>
                <w:tcPr>
                  <w:tcW w:type="dxa" w:w="122"/>
                  <w:vMerge/>
                  <w:tcBorders>
                    <w:top w:val="single" w:color="000000" w:sz="4"/>
                    <w:left w:val="single" w:color="000000" w:sz="4"/>
                    <w:bottom w:val="single" w:color="000000" w:sz="4"/>
                    <w:right w:val="single" w:color="000000" w:sz="4"/>
                  </w:tcBorders>
                </w:tcPr>
                <w:p/>
              </w:tc>
              <w:tc>
                <w:tcPr>
                  <w:tcW w:type="dxa" w:w="133"/>
                  <w:vMerge/>
                  <w:tcBorders>
                    <w:top w:val="single" w:color="000000" w:sz="4"/>
                    <w:left w:val="single" w:color="000000" w:sz="4"/>
                    <w:bottom w:val="single" w:color="000000" w:sz="4"/>
                    <w:right w:val="single" w:color="000000" w:sz="4"/>
                  </w:tcBorders>
                </w:tcPr>
                <w:p/>
              </w:tc>
              <w:tc>
                <w:tcPr>
                  <w:tcW w:type="dxa" w:w="192"/>
                  <w:vMerge/>
                  <w:tcBorders>
                    <w:top w:val="single" w:color="000000" w:sz="4"/>
                    <w:left w:val="single" w:color="000000" w:sz="4"/>
                    <w:bottom w:val="single" w:color="000000" w:sz="4"/>
                    <w:right w:val="single" w:color="000000" w:sz="4"/>
                  </w:tcBorders>
                </w:tcPr>
                <w:p/>
              </w:tc>
              <w:tc>
                <w:tcPr>
                  <w:tcW w:type="dxa" w:w="103"/>
                  <w:vMerge/>
                  <w:tcBorders>
                    <w:top w:val="single" w:color="000000" w:sz="4"/>
                    <w:left w:val="single" w:color="000000" w:sz="4"/>
                    <w:bottom w:val="single" w:color="000000" w:sz="4"/>
                    <w:right w:val="single" w:color="000000" w:sz="4"/>
                  </w:tcBorders>
                </w:tcPr>
                <w:p/>
              </w:tc>
              <w:tc>
                <w:tcPr>
                  <w:tcW w:type="dxa" w:w="97"/>
                  <w:vMerge/>
                  <w:tcBorders>
                    <w:top w:val="single" w:color="000000" w:sz="4"/>
                    <w:left w:val="single" w:color="000000" w:sz="4"/>
                    <w:bottom w:val="single" w:color="000000" w:sz="4"/>
                    <w:right w:val="single" w:color="000000" w:sz="4"/>
                  </w:tcBorders>
                </w:tcP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方式</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规格(厘米)</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时间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次数</w:t>
                  </w:r>
                </w:p>
              </w:tc>
            </w:tr>
            <w:tr>
              <w:tc>
                <w:tcPr>
                  <w:tcW w:type="dxa" w:w="1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夹道村</w:t>
                  </w: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小计</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198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194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18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18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东北</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全</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40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26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25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东北</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全</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40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14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13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东北</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上</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40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23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23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北</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下</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30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32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31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东北</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全</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45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25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25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东北</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中下</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40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西</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下</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26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16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16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东南</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下</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40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9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19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19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东</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全</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45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东</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全</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45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11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13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12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东</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上</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40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5次</w:t>
                  </w:r>
                </w:p>
              </w:tc>
            </w:tr>
            <w:tr>
              <w:tc>
                <w:tcPr>
                  <w:tcW w:type="dxa" w:w="1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西街村</w:t>
                  </w: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小计</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135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132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96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95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西南</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中上</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40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南</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上</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26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女贞</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21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21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西南</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中</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40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女贞、油松、丛生月季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西南</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下</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40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东</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下</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40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8"/>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5次</w:t>
                  </w:r>
                </w:p>
              </w:tc>
            </w:tr>
          </w:tbl>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42"/>
              <w:gridCol w:w="198"/>
              <w:gridCol w:w="164"/>
              <w:gridCol w:w="186"/>
              <w:gridCol w:w="176"/>
              <w:gridCol w:w="148"/>
              <w:gridCol w:w="157"/>
              <w:gridCol w:w="167"/>
              <w:gridCol w:w="183"/>
              <w:gridCol w:w="142"/>
              <w:gridCol w:w="142"/>
              <w:gridCol w:w="148"/>
              <w:gridCol w:w="145"/>
              <w:gridCol w:w="119"/>
              <w:gridCol w:w="151"/>
              <w:gridCol w:w="151"/>
            </w:tblGrid>
            <w:tr>
              <w:tc>
                <w:tcPr>
                  <w:tcW w:type="dxa" w:w="2519"/>
                  <w:gridSpan w:val="16"/>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b/>
                      <w:color w:val="000000"/>
                    </w:rPr>
                    <w:t>乾县</w:t>
                  </w:r>
                  <w:r>
                    <w:rPr>
                      <w:rFonts w:ascii="仿宋_GB2312" w:hAnsi="仿宋_GB2312" w:cs="仿宋_GB2312" w:eastAsia="仿宋_GB2312"/>
                      <w:sz w:val="22"/>
                      <w:b/>
                      <w:color w:val="000000"/>
                    </w:rPr>
                    <w:t>2025年国土绿化“三区两带</w:t>
                  </w:r>
                  <w:r>
                    <w:rPr>
                      <w:rFonts w:ascii="仿宋_GB2312" w:hAnsi="仿宋_GB2312" w:cs="仿宋_GB2312" w:eastAsia="仿宋_GB2312"/>
                      <w:sz w:val="21"/>
                    </w:rPr>
                    <w:t xml:space="preserve"> </w:t>
                  </w:r>
                  <w:r>
                    <w:rPr>
                      <w:rFonts w:ascii="仿宋_GB2312" w:hAnsi="仿宋_GB2312" w:cs="仿宋_GB2312" w:eastAsia="仿宋_GB2312"/>
                      <w:sz w:val="22"/>
                      <w:b/>
                      <w:color w:val="000000"/>
                    </w:rPr>
                    <w:t>”困难立地直观坡面绿化补助项目苗木量、用工量及物料量统计表（一标段）</w:t>
                  </w: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县</w:t>
                  </w:r>
                </w:p>
              </w:tc>
              <w:tc>
                <w:tcPr>
                  <w:tcW w:type="dxa" w:w="19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乡镇（林场）</w:t>
                  </w:r>
                </w:p>
              </w:tc>
              <w:tc>
                <w:tcPr>
                  <w:tcW w:type="dxa" w:w="16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作业区</w:t>
                  </w:r>
                </w:p>
              </w:tc>
              <w:tc>
                <w:tcPr>
                  <w:tcW w:type="dxa" w:w="18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小班</w:t>
                  </w:r>
                </w:p>
              </w:tc>
              <w:tc>
                <w:tcPr>
                  <w:tcW w:type="dxa" w:w="1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可作业面积（亩）</w:t>
                  </w:r>
                </w:p>
              </w:tc>
              <w:tc>
                <w:tcPr>
                  <w:tcW w:type="dxa" w:w="65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苗木需要量（含</w:t>
                  </w:r>
                  <w:r>
                    <w:rPr>
                      <w:rFonts w:ascii="仿宋_GB2312" w:hAnsi="仿宋_GB2312" w:cs="仿宋_GB2312" w:eastAsia="仿宋_GB2312"/>
                      <w:sz w:val="18"/>
                    </w:rPr>
                    <w:t>15%补植）</w:t>
                  </w:r>
                </w:p>
              </w:tc>
              <w:tc>
                <w:tcPr>
                  <w:tcW w:type="dxa" w:w="696"/>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用工量（工日）</w:t>
                  </w:r>
                </w:p>
              </w:tc>
              <w:tc>
                <w:tcPr>
                  <w:tcW w:type="dxa" w:w="30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物料量（千克）</w:t>
                  </w:r>
                </w:p>
              </w:tc>
            </w:tr>
            <w:tr>
              <w:tc>
                <w:tcPr>
                  <w:tcW w:type="dxa" w:w="142"/>
                  <w:vMerge/>
                  <w:tcBorders>
                    <w:top w:val="none" w:color="000000" w:sz="4"/>
                    <w:left w:val="singl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176"/>
                  <w:vMerge/>
                  <w:tcBorders>
                    <w:top w:val="single" w:color="000000" w:sz="4"/>
                    <w:left w:val="none" w:color="000000" w:sz="4"/>
                    <w:bottom w:val="single" w:color="000000" w:sz="4"/>
                    <w:right w:val="single" w:color="000000" w:sz="4"/>
                  </w:tcBorders>
                </w:tc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小计</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女贞</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油松</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丛生月季</w:t>
                  </w:r>
                </w:p>
              </w:tc>
              <w:tc>
                <w:tcPr>
                  <w:tcW w:type="dxa" w:w="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合计</w:t>
                  </w:r>
                </w:p>
              </w:tc>
              <w:tc>
                <w:tcPr>
                  <w:tcW w:type="dxa" w:w="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整地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栽植</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补植</w:t>
                  </w:r>
                </w:p>
              </w:tc>
              <w:tc>
                <w:tcPr>
                  <w:tcW w:type="dxa" w:w="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抚育</w:t>
                  </w: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保水剂</w:t>
                  </w: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GGR6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总计</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326</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27710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13005</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4238</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1630</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1304</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326</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978</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131</w:t>
                  </w: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乾县</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城关街道办</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合计</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326</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27710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13005</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4238</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1630</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1304</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326</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978</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131</w:t>
                  </w:r>
                </w:p>
              </w:tc>
            </w:tr>
            <w:tr>
              <w:tc>
                <w:tcPr>
                  <w:tcW w:type="dxa" w:w="142"/>
                  <w:vMerge/>
                  <w:tcBorders>
                    <w:top w:val="none" w:color="000000" w:sz="4"/>
                    <w:left w:val="singl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夹道村</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小计</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194</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16490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8245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8245</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2522</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970</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776</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194</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582</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78</w:t>
                  </w:r>
                </w:p>
              </w:tc>
            </w:tr>
            <w:tr>
              <w:tc>
                <w:tcPr>
                  <w:tcW w:type="dxa" w:w="142"/>
                  <w:vMerge/>
                  <w:tcBorders>
                    <w:top w:val="none" w:color="000000" w:sz="4"/>
                    <w:left w:val="singl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1530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765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765</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234</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72</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r>
            <w:tr>
              <w:tc>
                <w:tcPr>
                  <w:tcW w:type="dxa" w:w="142"/>
                  <w:vMerge/>
                  <w:tcBorders>
                    <w:top w:val="none" w:color="000000" w:sz="4"/>
                    <w:left w:val="singl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2125</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1063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1063</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325</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r>
            <w:tr>
              <w:tc>
                <w:tcPr>
                  <w:tcW w:type="dxa" w:w="142"/>
                  <w:vMerge/>
                  <w:tcBorders>
                    <w:top w:val="none" w:color="000000" w:sz="4"/>
                    <w:left w:val="singl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1105</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553</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169</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r>
            <w:tr>
              <w:tc>
                <w:tcPr>
                  <w:tcW w:type="dxa" w:w="142"/>
                  <w:vMerge/>
                  <w:tcBorders>
                    <w:top w:val="none" w:color="000000" w:sz="4"/>
                    <w:left w:val="singl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1955</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978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978</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299</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92</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69</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r>
            <w:tr>
              <w:tc>
                <w:tcPr>
                  <w:tcW w:type="dxa" w:w="142"/>
                  <w:vMerge/>
                  <w:tcBorders>
                    <w:top w:val="none" w:color="000000" w:sz="4"/>
                    <w:left w:val="singl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2635</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1318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1318</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403</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124</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93</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r>
            <w:tr>
              <w:tc>
                <w:tcPr>
                  <w:tcW w:type="dxa" w:w="142"/>
                  <w:vMerge/>
                  <w:tcBorders>
                    <w:top w:val="none" w:color="000000" w:sz="4"/>
                    <w:left w:val="singl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2125</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1063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1063</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325</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r>
            <w:tr>
              <w:tc>
                <w:tcPr>
                  <w:tcW w:type="dxa" w:w="142"/>
                  <w:vMerge/>
                  <w:tcBorders>
                    <w:top w:val="none" w:color="000000" w:sz="4"/>
                    <w:left w:val="singl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425</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213</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142"/>
                  <w:vMerge/>
                  <w:tcBorders>
                    <w:top w:val="none" w:color="000000" w:sz="4"/>
                    <w:left w:val="singl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1360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680</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208</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64</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r>
            <w:tr>
              <w:tc>
                <w:tcPr>
                  <w:tcW w:type="dxa" w:w="142"/>
                  <w:vMerge/>
                  <w:tcBorders>
                    <w:top w:val="none" w:color="000000" w:sz="4"/>
                    <w:left w:val="singl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1615</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808</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247</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76</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r>
            <w:tr>
              <w:tc>
                <w:tcPr>
                  <w:tcW w:type="dxa" w:w="142"/>
                  <w:vMerge/>
                  <w:tcBorders>
                    <w:top w:val="none" w:color="000000" w:sz="4"/>
                    <w:left w:val="singl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595</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298</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r>
            <w:tr>
              <w:tc>
                <w:tcPr>
                  <w:tcW w:type="dxa" w:w="142"/>
                  <w:vMerge/>
                  <w:tcBorders>
                    <w:top w:val="none" w:color="000000" w:sz="4"/>
                    <w:left w:val="singl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1020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510</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156</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r>
            <w:tr>
              <w:tc>
                <w:tcPr>
                  <w:tcW w:type="dxa" w:w="142"/>
                  <w:vMerge/>
                  <w:tcBorders>
                    <w:top w:val="none" w:color="000000" w:sz="4"/>
                    <w:left w:val="singl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西街村</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小计</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132</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11220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4760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4760</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1716</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660</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528</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132</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396</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w:t>
                  </w:r>
                </w:p>
              </w:tc>
            </w:tr>
            <w:tr>
              <w:tc>
                <w:tcPr>
                  <w:tcW w:type="dxa" w:w="142"/>
                  <w:vMerge/>
                  <w:tcBorders>
                    <w:top w:val="none" w:color="000000" w:sz="4"/>
                    <w:left w:val="singl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8075</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4038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4038</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1235</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380</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285</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r>
            <w:tr>
              <w:tc>
                <w:tcPr>
                  <w:tcW w:type="dxa" w:w="142"/>
                  <w:vMerge/>
                  <w:tcBorders>
                    <w:top w:val="none" w:color="000000" w:sz="4"/>
                    <w:left w:val="singl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425</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142"/>
                  <w:vMerge/>
                  <w:tcBorders>
                    <w:top w:val="none" w:color="000000" w:sz="4"/>
                    <w:left w:val="singl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1785</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1275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255</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273</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84</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63</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r>
            <w:tr>
              <w:tc>
                <w:tcPr>
                  <w:tcW w:type="dxa" w:w="142"/>
                  <w:vMerge/>
                  <w:tcBorders>
                    <w:top w:val="none" w:color="000000" w:sz="4"/>
                    <w:left w:val="singl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255</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78</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142"/>
                  <w:vMerge/>
                  <w:tcBorders>
                    <w:top w:val="none" w:color="000000" w:sz="4"/>
                    <w:left w:val="singl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425</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213</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标的名称：二标造林274亩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color w:val="000000"/>
              </w:rPr>
              <w:t>一、项目简介</w:t>
            </w:r>
          </w:p>
          <w:p>
            <w:pPr>
              <w:pStyle w:val="null3"/>
              <w:ind w:firstLine="400"/>
              <w:jc w:val="left"/>
            </w:pPr>
            <w:r>
              <w:rPr>
                <w:rFonts w:ascii="仿宋_GB2312" w:hAnsi="仿宋_GB2312" w:cs="仿宋_GB2312" w:eastAsia="仿宋_GB2312"/>
                <w:sz w:val="20"/>
                <w:color w:val="000000"/>
              </w:rPr>
              <w:t>乾县</w:t>
            </w:r>
            <w:r>
              <w:rPr>
                <w:rFonts w:ascii="仿宋_GB2312" w:hAnsi="仿宋_GB2312" w:cs="仿宋_GB2312" w:eastAsia="仿宋_GB2312"/>
                <w:sz w:val="20"/>
                <w:color w:val="000000"/>
              </w:rPr>
              <w:t>2025年国土绿化“三区两带”困难立地直观坡面绿化补助项目（二标段）建设地点位于城关街道办贾赵村、南北村、秦袁庄村，共1个街道办3个村，作业面积共计274</w:t>
            </w:r>
            <w:r>
              <w:rPr>
                <w:rFonts w:ascii="仿宋_GB2312" w:hAnsi="仿宋_GB2312" w:cs="仿宋_GB2312" w:eastAsia="仿宋_GB2312"/>
                <w:sz w:val="20"/>
                <w:color w:val="000000"/>
              </w:rPr>
              <w:t>亩（其中贾赵村</w:t>
            </w:r>
            <w:r>
              <w:rPr>
                <w:rFonts w:ascii="仿宋_GB2312" w:hAnsi="仿宋_GB2312" w:cs="仿宋_GB2312" w:eastAsia="仿宋_GB2312"/>
                <w:sz w:val="20"/>
                <w:color w:val="000000"/>
              </w:rPr>
              <w:t>17亩，南北村229亩，秦袁庄村28亩）。</w:t>
            </w:r>
          </w:p>
          <w:p>
            <w:pPr>
              <w:pStyle w:val="null3"/>
              <w:jc w:val="left"/>
            </w:pPr>
            <w:r>
              <w:rPr>
                <w:rFonts w:ascii="仿宋_GB2312" w:hAnsi="仿宋_GB2312" w:cs="仿宋_GB2312" w:eastAsia="仿宋_GB2312"/>
                <w:sz w:val="20"/>
                <w:b/>
                <w:color w:val="000000"/>
              </w:rPr>
              <w:t>二、工期</w:t>
            </w:r>
          </w:p>
          <w:p>
            <w:pPr>
              <w:pStyle w:val="null3"/>
              <w:ind w:firstLine="400"/>
              <w:jc w:val="left"/>
            </w:pPr>
            <w:r>
              <w:rPr>
                <w:rFonts w:ascii="仿宋_GB2312" w:hAnsi="仿宋_GB2312" w:cs="仿宋_GB2312" w:eastAsia="仿宋_GB2312"/>
                <w:sz w:val="20"/>
                <w:color w:val="000000"/>
              </w:rPr>
              <w:t>30日历天。</w:t>
            </w:r>
          </w:p>
          <w:p>
            <w:pPr>
              <w:pStyle w:val="null3"/>
              <w:jc w:val="left"/>
            </w:pPr>
            <w:r>
              <w:rPr>
                <w:rFonts w:ascii="仿宋_GB2312" w:hAnsi="仿宋_GB2312" w:cs="仿宋_GB2312" w:eastAsia="仿宋_GB2312"/>
                <w:sz w:val="20"/>
                <w:b/>
                <w:color w:val="000000"/>
              </w:rPr>
              <w:t>三、造林模式</w:t>
            </w:r>
          </w:p>
          <w:p>
            <w:pPr>
              <w:pStyle w:val="null3"/>
              <w:ind w:firstLine="418"/>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1）树种配置：本着生态建设与景观建设相结合，以落叶和常绿树种混合为特点，依据适地适树的原则，本项目造林树选择女贞、油松、丛生月季。</w:t>
            </w:r>
          </w:p>
          <w:p>
            <w:pPr>
              <w:pStyle w:val="null3"/>
              <w:ind w:firstLine="418"/>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2）栽植模式：混交，女贞块状纯林，油松、丛生月季1：1混交。</w:t>
            </w:r>
          </w:p>
          <w:p>
            <w:pPr>
              <w:pStyle w:val="null3"/>
              <w:ind w:firstLine="418"/>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3）分树种造林面积：在坡度较缓，交通便利的地块栽植女贞，其他地块栽植油松和丛生月季。</w:t>
            </w:r>
          </w:p>
          <w:p>
            <w:pPr>
              <w:pStyle w:val="null3"/>
              <w:ind w:firstLine="418"/>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4）造林密度:根据《造林技术规程》（GB/T15776-2023）确定造林初植密度每亩74株，1株/穴。</w:t>
            </w:r>
          </w:p>
          <w:p>
            <w:pPr>
              <w:pStyle w:val="null3"/>
              <w:ind w:firstLine="418"/>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5）配置方式：采用品字形配置，株行距：3m×3m；种植点的位置应灵活掌握，应不拘于株行距的规定，但要保证单位面积上的种植点的数量。</w:t>
            </w:r>
          </w:p>
          <w:p>
            <w:pPr>
              <w:pStyle w:val="null3"/>
              <w:ind w:firstLine="418"/>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6）整地：鱼鳞坑整地，规格：长80cm×宽60cm×深60cm。</w:t>
            </w:r>
          </w:p>
          <w:p>
            <w:pPr>
              <w:pStyle w:val="null3"/>
              <w:ind w:firstLine="418"/>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7）种苗：女贞、油松、丛生月季。</w:t>
            </w:r>
          </w:p>
          <w:p>
            <w:pPr>
              <w:pStyle w:val="null3"/>
              <w:ind w:firstLine="418"/>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8）栽植方式：人工植苗造林，1株/穴。栽时分层覆土，保持根系舒展。</w:t>
            </w:r>
          </w:p>
          <w:p>
            <w:pPr>
              <w:pStyle w:val="null3"/>
              <w:ind w:firstLine="418"/>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9）补植：对栽植后成活率达不到标准的小班及时进行补植，补植苗木需要量按15%计算。</w:t>
            </w:r>
          </w:p>
          <w:p>
            <w:pPr>
              <w:pStyle w:val="null3"/>
              <w:ind w:firstLine="418"/>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10）抚育：造林后实行封护，严禁牲畜进入林地，造林后3年5次抚育，按1-2-2为序，抚育内容包括穴内松土除草，培土，病、虫、鼠、兔害防治等。</w:t>
            </w:r>
          </w:p>
          <w:p>
            <w:pPr>
              <w:pStyle w:val="null3"/>
              <w:jc w:val="left"/>
            </w:pPr>
            <w:r>
              <w:rPr>
                <w:rFonts w:ascii="仿宋_GB2312" w:hAnsi="仿宋_GB2312" w:cs="仿宋_GB2312" w:eastAsia="仿宋_GB2312"/>
                <w:sz w:val="20"/>
                <w:b/>
                <w:color w:val="000000"/>
              </w:rPr>
              <w:t>四、树种要求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1）树种</w:t>
            </w:r>
          </w:p>
          <w:p>
            <w:pPr>
              <w:pStyle w:val="null3"/>
              <w:ind w:firstLine="400"/>
              <w:jc w:val="left"/>
            </w:pPr>
            <w:r>
              <w:rPr>
                <w:rFonts w:ascii="仿宋_GB2312" w:hAnsi="仿宋_GB2312" w:cs="仿宋_GB2312" w:eastAsia="仿宋_GB2312"/>
                <w:sz w:val="20"/>
                <w:color w:val="000000"/>
              </w:rPr>
              <w:t>1、乡土树种，适合当地自然环境。</w:t>
            </w:r>
          </w:p>
          <w:p>
            <w:pPr>
              <w:pStyle w:val="null3"/>
              <w:ind w:firstLine="400"/>
              <w:jc w:val="left"/>
            </w:pPr>
            <w:r>
              <w:rPr>
                <w:rFonts w:ascii="仿宋_GB2312" w:hAnsi="仿宋_GB2312" w:cs="仿宋_GB2312" w:eastAsia="仿宋_GB2312"/>
                <w:sz w:val="20"/>
                <w:color w:val="000000"/>
              </w:rPr>
              <w:t>2、苗木易于采购，当地及周边有足够的苗木供应。</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2）苗木规格及要求</w:t>
            </w:r>
          </w:p>
          <w:p>
            <w:pPr>
              <w:pStyle w:val="null3"/>
              <w:ind w:firstLine="400"/>
              <w:jc w:val="left"/>
            </w:pPr>
            <w:r>
              <w:rPr>
                <w:rFonts w:ascii="仿宋_GB2312" w:hAnsi="仿宋_GB2312" w:cs="仿宋_GB2312" w:eastAsia="仿宋_GB2312"/>
                <w:sz w:val="20"/>
                <w:color w:val="000000"/>
              </w:rPr>
              <w:t>苗木规格为女贞胸径</w:t>
            </w:r>
            <w:r>
              <w:rPr>
                <w:rFonts w:ascii="仿宋_GB2312" w:hAnsi="仿宋_GB2312" w:cs="仿宋_GB2312" w:eastAsia="仿宋_GB2312"/>
                <w:sz w:val="20"/>
                <w:color w:val="000000"/>
              </w:rPr>
              <w:t>5cm；油松高度≥1.3m，冠幅≥60cm；丛生月季3年以上苗龄，苗高≥50cm，冠幅≥40cm；女贞和油松需带土球栽植，丛生月季裸根苗栽植。采购的苗木必须有“两证一签”且生长健壮，无损伤。</w:t>
            </w:r>
          </w:p>
          <w:p>
            <w:pPr>
              <w:pStyle w:val="null3"/>
              <w:jc w:val="left"/>
            </w:pPr>
            <w:r>
              <w:rPr>
                <w:rFonts w:ascii="仿宋_GB2312" w:hAnsi="仿宋_GB2312" w:cs="仿宋_GB2312" w:eastAsia="仿宋_GB2312"/>
                <w:sz w:val="20"/>
                <w:b/>
                <w:color w:val="000000"/>
              </w:rPr>
              <w:t>五、技术要求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1）整地</w:t>
            </w:r>
          </w:p>
          <w:p>
            <w:pPr>
              <w:pStyle w:val="null3"/>
              <w:ind w:firstLine="400"/>
              <w:jc w:val="left"/>
            </w:pPr>
            <w:r>
              <w:rPr>
                <w:rFonts w:ascii="仿宋_GB2312" w:hAnsi="仿宋_GB2312" w:cs="仿宋_GB2312" w:eastAsia="仿宋_GB2312"/>
                <w:sz w:val="20"/>
                <w:color w:val="000000"/>
              </w:rPr>
              <w:t>由于该项目作业区坡度较大，所以整地时要因地制宜。本次造林采取鱼鳞坑整地，坑穴规格长</w:t>
            </w:r>
            <w:r>
              <w:rPr>
                <w:rFonts w:ascii="仿宋_GB2312" w:hAnsi="仿宋_GB2312" w:cs="仿宋_GB2312" w:eastAsia="仿宋_GB2312"/>
                <w:sz w:val="20"/>
                <w:color w:val="000000"/>
              </w:rPr>
              <w:t>80厘米×宽60厘米×深60厘米挖坑时取土培于下方形成弧形围埂，埂顶中间高度0.2-0.3米且高于两侧，坑与坑中心点距离为3米，深度为0.6米。每个坑穴设计为单株种植单元，埂体拱形构造可引导径流形成非直线下泄路径。整地时一定要严格按照设计的要求进行整地，同时要尽量保护林地中不影响幼苗生长的原生植被，防止造成新的水土流失。</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2）栽植</w:t>
            </w:r>
          </w:p>
          <w:p>
            <w:pPr>
              <w:pStyle w:val="null3"/>
              <w:ind w:firstLine="400"/>
              <w:jc w:val="left"/>
            </w:pPr>
            <w:r>
              <w:rPr>
                <w:rFonts w:ascii="仿宋_GB2312" w:hAnsi="仿宋_GB2312" w:cs="仿宋_GB2312" w:eastAsia="仿宋_GB2312"/>
                <w:sz w:val="20"/>
                <w:color w:val="000000"/>
              </w:rPr>
              <w:t>采用植苗造林方法，每穴</w:t>
            </w:r>
            <w:r>
              <w:rPr>
                <w:rFonts w:ascii="仿宋_GB2312" w:hAnsi="仿宋_GB2312" w:cs="仿宋_GB2312" w:eastAsia="仿宋_GB2312"/>
                <w:sz w:val="20"/>
                <w:color w:val="000000"/>
              </w:rPr>
              <w:t>1株，栽植应做到苗端位正，根系舒展，深浅适当，覆土高度稍高于苗木根径5厘米为宜，分层踩实，保留15厘米左右深的坑，以利于蓄水保墒。栽植时要严格按照“一垫、二提、三埋、四踩”的要求进行认真栽植。由于作业区土壤条件较差，本次增加坑穴换土，栽植回填土全部选择外购黄土入穴，为林木生长提供好的土壤，以保证苗木成活率。</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3）浇水</w:t>
            </w:r>
          </w:p>
          <w:p>
            <w:pPr>
              <w:pStyle w:val="null3"/>
              <w:ind w:firstLine="400"/>
              <w:jc w:val="left"/>
            </w:pPr>
            <w:r>
              <w:rPr>
                <w:rFonts w:ascii="仿宋_GB2312" w:hAnsi="仿宋_GB2312" w:cs="仿宋_GB2312" w:eastAsia="仿宋_GB2312"/>
                <w:sz w:val="20"/>
                <w:color w:val="000000"/>
              </w:rPr>
              <w:t>苗木栽植后应及时浇足、浇透定根水。由于造林地坡度较陡，应采取合理的灌溉方式。浇水后，尽量利用有机覆盖物等铺在坑穴表面，可有效减少蒸腾作用，起到保水保墒的作用。浇水不少于</w:t>
            </w:r>
            <w:r>
              <w:rPr>
                <w:rFonts w:ascii="仿宋_GB2312" w:hAnsi="仿宋_GB2312" w:cs="仿宋_GB2312" w:eastAsia="仿宋_GB2312"/>
                <w:sz w:val="20"/>
                <w:color w:val="000000"/>
              </w:rPr>
              <w:t>2次/年。如遇极端干旱天气，要增加浇水的次数，保障苗木不因干旱而死亡。浇水后鱼鳞坑内容易引起土壤板结，通气不良，要增加松土次数。</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4）抗旱造林技术应用</w:t>
            </w:r>
          </w:p>
          <w:p>
            <w:pPr>
              <w:pStyle w:val="null3"/>
              <w:ind w:firstLine="400"/>
              <w:jc w:val="left"/>
            </w:pPr>
            <w:r>
              <w:rPr>
                <w:rFonts w:ascii="仿宋_GB2312" w:hAnsi="仿宋_GB2312" w:cs="仿宋_GB2312" w:eastAsia="仿宋_GB2312"/>
                <w:sz w:val="20"/>
                <w:color w:val="000000"/>
              </w:rPr>
              <w:t>为确保造林成活率，提高造林质量，造林时要应用</w:t>
            </w:r>
            <w:r>
              <w:rPr>
                <w:rFonts w:ascii="仿宋_GB2312" w:hAnsi="仿宋_GB2312" w:cs="仿宋_GB2312" w:eastAsia="仿宋_GB2312"/>
                <w:sz w:val="20"/>
                <w:color w:val="000000"/>
              </w:rPr>
              <w:t>GGR、保水剂等抗旱实用技术促进苗木生长。造林所需的苗木应做到随起随栽，确需调运的应采取相应的保护措施，以减少运输途中苗木的损伤和水分的丧失，提高造林成活率。</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5）成活率、保存率的调查</w:t>
            </w:r>
          </w:p>
          <w:p>
            <w:pPr>
              <w:pStyle w:val="null3"/>
              <w:ind w:firstLine="400"/>
              <w:jc w:val="left"/>
            </w:pPr>
            <w:r>
              <w:rPr>
                <w:rFonts w:ascii="仿宋_GB2312" w:hAnsi="仿宋_GB2312" w:cs="仿宋_GB2312" w:eastAsia="仿宋_GB2312"/>
                <w:sz w:val="20"/>
                <w:color w:val="000000"/>
              </w:rPr>
              <w:t>成活率调查应在经过一个生长季节后进行，成活率调查时间在次年秋季进行。调查方法是在当年所有栽植小班内选设具有代表性的标准地，分别计数成活与死亡株数。调查结果分别按成活率</w:t>
            </w:r>
            <w:r>
              <w:rPr>
                <w:rFonts w:ascii="仿宋_GB2312" w:hAnsi="仿宋_GB2312" w:cs="仿宋_GB2312" w:eastAsia="仿宋_GB2312"/>
                <w:sz w:val="20"/>
                <w:color w:val="000000"/>
              </w:rPr>
              <w:t>85%以上、41—85%、41%以下三级统计。成活率在41%以下的必须重新实施，成活率在41—84%的按初植密度必须及时进行补植。</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6）抚育</w:t>
            </w:r>
          </w:p>
          <w:p>
            <w:pPr>
              <w:pStyle w:val="null3"/>
              <w:ind w:firstLine="400"/>
              <w:jc w:val="left"/>
            </w:pPr>
            <w:r>
              <w:rPr>
                <w:rFonts w:ascii="仿宋_GB2312" w:hAnsi="仿宋_GB2312" w:cs="仿宋_GB2312" w:eastAsia="仿宋_GB2312"/>
                <w:sz w:val="20"/>
                <w:color w:val="000000"/>
              </w:rPr>
              <w:t>抚育是指在栽植后一段时间里所进行的各种技术措施。新栽树木一般要经历缓苗、扎根、生长并逐步进入速生的过程，对以后林木快速生长影响极大。抚育的根本任务在于为幼树提供一个优越的生长环境，满足幼树对水、肥、气、光、热的要求。通过松土、除草、扩穴等改善土壤理化性质，给幼苗幼树创造一个良好的生长环境。造林后</w:t>
            </w:r>
            <w:r>
              <w:rPr>
                <w:rFonts w:ascii="仿宋_GB2312" w:hAnsi="仿宋_GB2312" w:cs="仿宋_GB2312" w:eastAsia="仿宋_GB2312"/>
                <w:sz w:val="20"/>
                <w:color w:val="000000"/>
              </w:rPr>
              <w:t>3年内抚育5 次，抚育的主要内容是松土、除草、除萌、扩穴、砍灌、培土、整枝、林业有害生物防治等。松土除草要做到“三不伤、二干净、一培土”，即不伤根、不伤皮、不伤树梢；杂灌草除干净，把除掉的杂草覆盖到树根附近，以减少水分蒸发和增加有机质。松土深度要适当，做到里浅外深，栽植后第一年浅，以后逐年加深。发现病、虫、鼠、兔等林业有害生物要及时进行防治。</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7）管护</w:t>
            </w:r>
          </w:p>
          <w:p>
            <w:pPr>
              <w:pStyle w:val="null3"/>
              <w:ind w:firstLine="400"/>
              <w:jc w:val="left"/>
            </w:pPr>
            <w:r>
              <w:rPr>
                <w:rFonts w:ascii="仿宋_GB2312" w:hAnsi="仿宋_GB2312" w:cs="仿宋_GB2312" w:eastAsia="仿宋_GB2312"/>
                <w:sz w:val="20"/>
                <w:color w:val="000000"/>
              </w:rPr>
              <w:t>栽植后，要切实加强对项目区的管护工作，项目建设单位要和作业区周边涉及的镇、行政村签订管护责任书，作业区要设立专职或兼职护林员。严禁在工程区附近烧荒，采石，严禁牲畜进入项目区，一经发现，严格按照《森林法》的有关条款进行处罚。</w:t>
            </w:r>
          </w:p>
          <w:p>
            <w:pPr>
              <w:pStyle w:val="null3"/>
              <w:jc w:val="left"/>
            </w:pPr>
            <w:r>
              <w:rPr>
                <w:rFonts w:ascii="仿宋_GB2312" w:hAnsi="仿宋_GB2312" w:cs="仿宋_GB2312" w:eastAsia="仿宋_GB2312"/>
                <w:sz w:val="20"/>
                <w:b/>
                <w:color w:val="000000"/>
              </w:rPr>
              <w:t>六、其他说明</w:t>
            </w:r>
          </w:p>
          <w:p>
            <w:pPr>
              <w:pStyle w:val="null3"/>
              <w:ind w:firstLine="400"/>
              <w:jc w:val="left"/>
            </w:pPr>
            <w:r>
              <w:rPr>
                <w:rFonts w:ascii="仿宋_GB2312" w:hAnsi="仿宋_GB2312" w:cs="仿宋_GB2312" w:eastAsia="仿宋_GB2312"/>
                <w:sz w:val="20"/>
                <w:color w:val="000000"/>
              </w:rPr>
              <w:t>1、合同总价包括但不限于人工费、材料费、机械费、管理费、利润、措施费、规费、税金、苗木养护费、抚育以及所有风险等完成本项目内容所包含的全部费用。投标报价为供应商在投标文件中提出各项支付金额的总和。</w:t>
            </w:r>
          </w:p>
          <w:p>
            <w:pPr>
              <w:pStyle w:val="null3"/>
              <w:ind w:firstLine="400"/>
              <w:jc w:val="left"/>
            </w:pPr>
            <w:r>
              <w:rPr>
                <w:rFonts w:ascii="仿宋_GB2312" w:hAnsi="仿宋_GB2312" w:cs="仿宋_GB2312" w:eastAsia="仿宋_GB2312"/>
                <w:sz w:val="20"/>
                <w:color w:val="000000"/>
              </w:rPr>
              <w:t>2、最终结算以审计结果为准。</w:t>
            </w:r>
          </w:p>
          <w:p>
            <w:pPr>
              <w:pStyle w:val="null3"/>
              <w:ind w:firstLine="400"/>
              <w:jc w:val="left"/>
            </w:pPr>
            <w:r>
              <w:rPr>
                <w:rFonts w:ascii="仿宋_GB2312" w:hAnsi="仿宋_GB2312" w:cs="仿宋_GB2312" w:eastAsia="仿宋_GB2312"/>
                <w:sz w:val="20"/>
                <w:color w:val="000000"/>
              </w:rPr>
              <w:t>3、本采购文件附件中的合同文件仅供参考。</w:t>
            </w:r>
          </w:p>
          <w:tbl>
            <w:tblPr>
              <w:tblBorders>
                <w:top w:val="single"/>
                <w:left w:val="single"/>
                <w:bottom w:val="single"/>
                <w:right w:val="single"/>
                <w:insideH w:val="single"/>
                <w:insideV w:val="single"/>
              </w:tblBorders>
            </w:tblPr>
            <w:tblGrid>
              <w:gridCol w:w="119"/>
              <w:gridCol w:w="83"/>
              <w:gridCol w:w="161"/>
              <w:gridCol w:w="119"/>
              <w:gridCol w:w="94"/>
              <w:gridCol w:w="189"/>
              <w:gridCol w:w="156"/>
              <w:gridCol w:w="100"/>
              <w:gridCol w:w="100"/>
              <w:gridCol w:w="89"/>
              <w:gridCol w:w="153"/>
              <w:gridCol w:w="122"/>
              <w:gridCol w:w="133"/>
              <w:gridCol w:w="192"/>
              <w:gridCol w:w="103"/>
              <w:gridCol w:w="97"/>
              <w:gridCol w:w="122"/>
              <w:gridCol w:w="189"/>
              <w:gridCol w:w="80"/>
              <w:gridCol w:w="108"/>
            </w:tblGrid>
            <w:tr>
              <w:tc>
                <w:tcPr>
                  <w:tcW w:type="dxa" w:w="2509"/>
                  <w:gridSpan w:val="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 xml:space="preserve">乾县2025年国土绿化“三区两带 </w:t>
                  </w:r>
                  <w:r>
                    <w:rPr>
                      <w:rFonts w:ascii="仿宋_GB2312" w:hAnsi="仿宋_GB2312" w:cs="仿宋_GB2312" w:eastAsia="仿宋_GB2312"/>
                      <w:sz w:val="24"/>
                      <w:b/>
                      <w:color w:val="000000"/>
                    </w:rPr>
                    <w:t>”困难立地直观坡面绿化补助项目小班设计表（二标段）</w:t>
                  </w:r>
                </w:p>
              </w:tc>
            </w:tr>
            <w:tr>
              <w:tc>
                <w:tcPr>
                  <w:tcW w:type="dxa" w:w="1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作业区</w:t>
                  </w:r>
                </w:p>
              </w:tc>
              <w:tc>
                <w:tcPr>
                  <w:tcW w:type="dxa" w:w="8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小班</w:t>
                  </w:r>
                </w:p>
              </w:tc>
              <w:tc>
                <w:tcPr>
                  <w:tcW w:type="dxa" w:w="16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小班面积(亩)</w:t>
                  </w:r>
                </w:p>
              </w:tc>
              <w:tc>
                <w:tcPr>
                  <w:tcW w:type="dxa" w:w="1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可作业面积(亩)</w:t>
                  </w:r>
                </w:p>
              </w:tc>
              <w:tc>
                <w:tcPr>
                  <w:tcW w:type="dxa" w:w="9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林地权属</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前地类</w:t>
                  </w:r>
                </w:p>
              </w:tc>
              <w:tc>
                <w:tcPr>
                  <w:tcW w:type="dxa" w:w="15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地貌</w:t>
                  </w:r>
                </w:p>
              </w:tc>
              <w:tc>
                <w:tcPr>
                  <w:tcW w:type="dxa" w:w="10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坡向</w:t>
                  </w:r>
                </w:p>
              </w:tc>
              <w:tc>
                <w:tcPr>
                  <w:tcW w:type="dxa" w:w="10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坡位</w:t>
                  </w:r>
                </w:p>
              </w:tc>
              <w:tc>
                <w:tcPr>
                  <w:tcW w:type="dxa" w:w="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坡度</w:t>
                  </w:r>
                </w:p>
              </w:tc>
              <w:tc>
                <w:tcPr>
                  <w:tcW w:type="dxa" w:w="15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土壤种类</w:t>
                  </w:r>
                </w:p>
              </w:tc>
              <w:tc>
                <w:tcPr>
                  <w:tcW w:type="dxa" w:w="12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土壤厚度(厘米)</w:t>
                  </w:r>
                </w:p>
              </w:tc>
              <w:tc>
                <w:tcPr>
                  <w:tcW w:type="dxa" w:w="1024"/>
                  <w:gridSpan w:val="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造林设计内容</w:t>
                  </w:r>
                </w:p>
              </w:tc>
            </w:tr>
            <w:tr>
              <w:tc>
                <w:tcPr>
                  <w:tcW w:type="dxa" w:w="119"/>
                  <w:vMerge/>
                  <w:tcBorders>
                    <w:top w:val="single" w:color="000000" w:sz="4"/>
                    <w:left w:val="single" w:color="000000" w:sz="4"/>
                    <w:bottom w:val="single" w:color="000000" w:sz="4"/>
                    <w:right w:val="single" w:color="000000" w:sz="4"/>
                  </w:tcBorders>
                </w:tcPr>
                <w:p/>
              </w:tc>
              <w:tc>
                <w:tcPr>
                  <w:tcW w:type="dxa" w:w="83"/>
                  <w:vMerge/>
                  <w:tcBorders>
                    <w:top w:val="single" w:color="000000" w:sz="4"/>
                    <w:left w:val="single" w:color="000000" w:sz="4"/>
                    <w:bottom w:val="single" w:color="000000" w:sz="4"/>
                    <w:right w:val="single" w:color="000000" w:sz="4"/>
                  </w:tcBorders>
                </w:tcPr>
                <w:p/>
              </w:tc>
              <w:tc>
                <w:tcPr>
                  <w:tcW w:type="dxa" w:w="161"/>
                  <w:vMerge/>
                  <w:tcBorders>
                    <w:top w:val="single" w:color="000000" w:sz="4"/>
                    <w:left w:val="single" w:color="000000" w:sz="4"/>
                    <w:bottom w:val="single" w:color="000000" w:sz="4"/>
                    <w:right w:val="single" w:color="000000" w:sz="4"/>
                  </w:tcBorders>
                </w:tcPr>
                <w:p/>
              </w:tc>
              <w:tc>
                <w:tcPr>
                  <w:tcW w:type="dxa" w:w="119"/>
                  <w:vMerge/>
                  <w:tcBorders>
                    <w:top w:val="single" w:color="000000" w:sz="4"/>
                    <w:left w:val="single" w:color="000000" w:sz="4"/>
                    <w:bottom w:val="single" w:color="000000" w:sz="4"/>
                    <w:right w:val="single" w:color="000000" w:sz="4"/>
                  </w:tcBorders>
                </w:tcPr>
                <w:p/>
              </w:tc>
              <w:tc>
                <w:tcPr>
                  <w:tcW w:type="dxa" w:w="94"/>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56"/>
                  <w:vMerge/>
                  <w:tcBorders>
                    <w:top w:val="single" w:color="000000" w:sz="4"/>
                    <w:left w:val="single" w:color="000000" w:sz="4"/>
                    <w:bottom w:val="single" w:color="000000" w:sz="4"/>
                    <w:right w:val="single" w:color="000000" w:sz="4"/>
                  </w:tcBorders>
                </w:tcPr>
                <w:p/>
              </w:tc>
              <w:tc>
                <w:tcPr>
                  <w:tcW w:type="dxa" w:w="100"/>
                  <w:vMerge/>
                  <w:tcBorders>
                    <w:top w:val="single" w:color="000000" w:sz="4"/>
                    <w:left w:val="single" w:color="000000" w:sz="4"/>
                    <w:bottom w:val="single" w:color="000000" w:sz="4"/>
                    <w:right w:val="single" w:color="000000" w:sz="4"/>
                  </w:tcBorders>
                </w:tcPr>
                <w:p/>
              </w:tc>
              <w:tc>
                <w:tcPr>
                  <w:tcW w:type="dxa" w:w="100"/>
                  <w:vMerge/>
                  <w:tcBorders>
                    <w:top w:val="single" w:color="000000" w:sz="4"/>
                    <w:left w:val="single" w:color="000000" w:sz="4"/>
                    <w:bottom w:val="single" w:color="000000" w:sz="4"/>
                    <w:right w:val="single" w:color="000000" w:sz="4"/>
                  </w:tcBorders>
                </w:tcPr>
                <w:p/>
              </w:tc>
              <w:tc>
                <w:tcPr>
                  <w:tcW w:type="dxa" w:w="89"/>
                  <w:vMerge/>
                  <w:tcBorders>
                    <w:top w:val="single" w:color="000000" w:sz="4"/>
                    <w:left w:val="single" w:color="000000" w:sz="4"/>
                    <w:bottom w:val="single" w:color="000000" w:sz="4"/>
                    <w:right w:val="single" w:color="000000" w:sz="4"/>
                  </w:tcBorders>
                </w:tcPr>
                <w:p/>
              </w:tc>
              <w:tc>
                <w:tcPr>
                  <w:tcW w:type="dxa" w:w="153"/>
                  <w:vMerge/>
                  <w:tcBorders>
                    <w:top w:val="single" w:color="000000" w:sz="4"/>
                    <w:left w:val="single" w:color="000000" w:sz="4"/>
                    <w:bottom w:val="single" w:color="000000" w:sz="4"/>
                    <w:right w:val="single" w:color="000000" w:sz="4"/>
                  </w:tcBorders>
                </w:tcPr>
                <w:p/>
              </w:tc>
              <w:tc>
                <w:tcPr>
                  <w:tcW w:type="dxa" w:w="122"/>
                  <w:vMerge/>
                  <w:tcBorders>
                    <w:top w:val="single" w:color="000000" w:sz="4"/>
                    <w:left w:val="single" w:color="000000" w:sz="4"/>
                    <w:bottom w:val="single" w:color="000000" w:sz="4"/>
                    <w:right w:val="single" w:color="000000" w:sz="4"/>
                  </w:tcBorders>
                </w:tcPr>
                <w:p/>
              </w:tc>
              <w:tc>
                <w:tcPr>
                  <w:tcW w:type="dxa" w:w="13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林种</w:t>
                  </w:r>
                </w:p>
              </w:tc>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栽植树种</w:t>
                  </w:r>
                </w:p>
              </w:tc>
              <w:tc>
                <w:tcPr>
                  <w:tcW w:type="dxa" w:w="10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株行距(米)</w:t>
                  </w:r>
                </w:p>
              </w:tc>
              <w:tc>
                <w:tcPr>
                  <w:tcW w:type="dxa" w:w="9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造林方式</w:t>
                  </w:r>
                </w:p>
              </w:tc>
              <w:tc>
                <w:tcPr>
                  <w:tcW w:type="dxa" w:w="31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整地</w:t>
                  </w:r>
                </w:p>
              </w:tc>
              <w:tc>
                <w:tcPr>
                  <w:tcW w:type="dxa" w:w="18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抚育</w:t>
                  </w:r>
                </w:p>
              </w:tc>
            </w:tr>
            <w:tr>
              <w:tc>
                <w:tcPr>
                  <w:tcW w:type="dxa" w:w="119"/>
                  <w:vMerge/>
                  <w:tcBorders>
                    <w:top w:val="single" w:color="000000" w:sz="4"/>
                    <w:left w:val="single" w:color="000000" w:sz="4"/>
                    <w:bottom w:val="single" w:color="000000" w:sz="4"/>
                    <w:right w:val="single" w:color="000000" w:sz="4"/>
                  </w:tcBorders>
                </w:tcPr>
                <w:p/>
              </w:tc>
              <w:tc>
                <w:tcPr>
                  <w:tcW w:type="dxa" w:w="83"/>
                  <w:vMerge/>
                  <w:tcBorders>
                    <w:top w:val="single" w:color="000000" w:sz="4"/>
                    <w:left w:val="single" w:color="000000" w:sz="4"/>
                    <w:bottom w:val="single" w:color="000000" w:sz="4"/>
                    <w:right w:val="single" w:color="000000" w:sz="4"/>
                  </w:tcBorders>
                </w:tcPr>
                <w:p/>
              </w:tc>
              <w:tc>
                <w:tcPr>
                  <w:tcW w:type="dxa" w:w="161"/>
                  <w:vMerge/>
                  <w:tcBorders>
                    <w:top w:val="single" w:color="000000" w:sz="4"/>
                    <w:left w:val="single" w:color="000000" w:sz="4"/>
                    <w:bottom w:val="single" w:color="000000" w:sz="4"/>
                    <w:right w:val="single" w:color="000000" w:sz="4"/>
                  </w:tcBorders>
                </w:tcPr>
                <w:p/>
              </w:tc>
              <w:tc>
                <w:tcPr>
                  <w:tcW w:type="dxa" w:w="119"/>
                  <w:vMerge/>
                  <w:tcBorders>
                    <w:top w:val="single" w:color="000000" w:sz="4"/>
                    <w:left w:val="single" w:color="000000" w:sz="4"/>
                    <w:bottom w:val="single" w:color="000000" w:sz="4"/>
                    <w:right w:val="single" w:color="000000" w:sz="4"/>
                  </w:tcBorders>
                </w:tcPr>
                <w:p/>
              </w:tc>
              <w:tc>
                <w:tcPr>
                  <w:tcW w:type="dxa" w:w="94"/>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56"/>
                  <w:vMerge/>
                  <w:tcBorders>
                    <w:top w:val="single" w:color="000000" w:sz="4"/>
                    <w:left w:val="single" w:color="000000" w:sz="4"/>
                    <w:bottom w:val="single" w:color="000000" w:sz="4"/>
                    <w:right w:val="single" w:color="000000" w:sz="4"/>
                  </w:tcBorders>
                </w:tcPr>
                <w:p/>
              </w:tc>
              <w:tc>
                <w:tcPr>
                  <w:tcW w:type="dxa" w:w="100"/>
                  <w:vMerge/>
                  <w:tcBorders>
                    <w:top w:val="single" w:color="000000" w:sz="4"/>
                    <w:left w:val="single" w:color="000000" w:sz="4"/>
                    <w:bottom w:val="single" w:color="000000" w:sz="4"/>
                    <w:right w:val="single" w:color="000000" w:sz="4"/>
                  </w:tcBorders>
                </w:tcPr>
                <w:p/>
              </w:tc>
              <w:tc>
                <w:tcPr>
                  <w:tcW w:type="dxa" w:w="100"/>
                  <w:vMerge/>
                  <w:tcBorders>
                    <w:top w:val="single" w:color="000000" w:sz="4"/>
                    <w:left w:val="single" w:color="000000" w:sz="4"/>
                    <w:bottom w:val="single" w:color="000000" w:sz="4"/>
                    <w:right w:val="single" w:color="000000" w:sz="4"/>
                  </w:tcBorders>
                </w:tcPr>
                <w:p/>
              </w:tc>
              <w:tc>
                <w:tcPr>
                  <w:tcW w:type="dxa" w:w="89"/>
                  <w:vMerge/>
                  <w:tcBorders>
                    <w:top w:val="single" w:color="000000" w:sz="4"/>
                    <w:left w:val="single" w:color="000000" w:sz="4"/>
                    <w:bottom w:val="single" w:color="000000" w:sz="4"/>
                    <w:right w:val="single" w:color="000000" w:sz="4"/>
                  </w:tcBorders>
                </w:tcPr>
                <w:p/>
              </w:tc>
              <w:tc>
                <w:tcPr>
                  <w:tcW w:type="dxa" w:w="153"/>
                  <w:vMerge/>
                  <w:tcBorders>
                    <w:top w:val="single" w:color="000000" w:sz="4"/>
                    <w:left w:val="single" w:color="000000" w:sz="4"/>
                    <w:bottom w:val="single" w:color="000000" w:sz="4"/>
                    <w:right w:val="single" w:color="000000" w:sz="4"/>
                  </w:tcBorders>
                </w:tcPr>
                <w:p/>
              </w:tc>
              <w:tc>
                <w:tcPr>
                  <w:tcW w:type="dxa" w:w="122"/>
                  <w:vMerge/>
                  <w:tcBorders>
                    <w:top w:val="single" w:color="000000" w:sz="4"/>
                    <w:left w:val="single" w:color="000000" w:sz="4"/>
                    <w:bottom w:val="single" w:color="000000" w:sz="4"/>
                    <w:right w:val="single" w:color="000000" w:sz="4"/>
                  </w:tcBorders>
                </w:tcPr>
                <w:p/>
              </w:tc>
              <w:tc>
                <w:tcPr>
                  <w:tcW w:type="dxa" w:w="133"/>
                  <w:vMerge/>
                  <w:tcBorders>
                    <w:top w:val="single" w:color="000000" w:sz="4"/>
                    <w:left w:val="single" w:color="000000" w:sz="4"/>
                    <w:bottom w:val="single" w:color="000000" w:sz="4"/>
                    <w:right w:val="single" w:color="000000" w:sz="4"/>
                  </w:tcBorders>
                </w:tcPr>
                <w:p/>
              </w:tc>
              <w:tc>
                <w:tcPr>
                  <w:tcW w:type="dxa" w:w="192"/>
                  <w:vMerge/>
                  <w:tcBorders>
                    <w:top w:val="single" w:color="000000" w:sz="4"/>
                    <w:left w:val="single" w:color="000000" w:sz="4"/>
                    <w:bottom w:val="single" w:color="000000" w:sz="4"/>
                    <w:right w:val="single" w:color="000000" w:sz="4"/>
                  </w:tcBorders>
                </w:tcPr>
                <w:p/>
              </w:tc>
              <w:tc>
                <w:tcPr>
                  <w:tcW w:type="dxa" w:w="103"/>
                  <w:vMerge/>
                  <w:tcBorders>
                    <w:top w:val="single" w:color="000000" w:sz="4"/>
                    <w:left w:val="single" w:color="000000" w:sz="4"/>
                    <w:bottom w:val="single" w:color="000000" w:sz="4"/>
                    <w:right w:val="single" w:color="000000" w:sz="4"/>
                  </w:tcBorders>
                </w:tcPr>
                <w:p/>
              </w:tc>
              <w:tc>
                <w:tcPr>
                  <w:tcW w:type="dxa" w:w="97"/>
                  <w:vMerge/>
                  <w:tcBorders>
                    <w:top w:val="single" w:color="000000" w:sz="4"/>
                    <w:left w:val="single" w:color="000000" w:sz="4"/>
                    <w:bottom w:val="single" w:color="000000" w:sz="4"/>
                    <w:right w:val="single" w:color="000000" w:sz="4"/>
                  </w:tcBorders>
                </w:tcP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方式</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规格(厘米)</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时间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次数</w:t>
                  </w:r>
                </w:p>
              </w:tc>
            </w:tr>
            <w:tr>
              <w:tc>
                <w:tcPr>
                  <w:tcW w:type="dxa" w:w="1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贾赵村</w:t>
                  </w: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小计</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18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17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13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东</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全</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东</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中上</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5次</w:t>
                  </w:r>
                </w:p>
              </w:tc>
            </w:tr>
            <w:tr>
              <w:tc>
                <w:tcPr>
                  <w:tcW w:type="dxa" w:w="1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南北村</w:t>
                  </w: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小计</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233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229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32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31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东</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全</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41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西南</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全</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45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53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52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东北</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全</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45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东南</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全</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45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东南</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下</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女贞</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14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14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东南</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下</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44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43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南</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全</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45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5次</w:t>
                  </w:r>
                </w:p>
              </w:tc>
            </w:tr>
            <w:tr>
              <w:tc>
                <w:tcPr>
                  <w:tcW w:type="dxa" w:w="1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秦袁庄</w:t>
                  </w:r>
                  <w:r>
                    <w:br/>
                  </w:r>
                  <w:r>
                    <w:rPr>
                      <w:rFonts w:ascii="仿宋_GB2312" w:hAnsi="仿宋_GB2312" w:cs="仿宋_GB2312" w:eastAsia="仿宋_GB2312"/>
                      <w:sz w:val="19"/>
                      <w:color w:val="000000"/>
                    </w:rPr>
                    <w:t xml:space="preserve"> 村</w:t>
                  </w: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小计</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28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西</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下</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西</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全</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西</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全</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45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5次</w:t>
                  </w:r>
                </w:p>
              </w:tc>
            </w:tr>
            <w:tr>
              <w:tc>
                <w:tcPr>
                  <w:tcW w:type="dxa" w:w="119"/>
                  <w:vMerge/>
                  <w:tcBorders>
                    <w:top w:val="single" w:color="000000" w:sz="4"/>
                    <w:left w:val="single" w:color="000000" w:sz="4"/>
                    <w:bottom w:val="single" w:color="000000" w:sz="4"/>
                    <w:right w:val="single" w:color="000000" w:sz="4"/>
                  </w:tcBorders>
                </w:tcPr>
                <w:p/>
              </w:tc>
              <w:tc>
                <w:tcPr>
                  <w:tcW w:type="dxa" w:w="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 </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 </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 </w:t>
                  </w:r>
                </w:p>
              </w:tc>
              <w:tc>
                <w:tcPr>
                  <w:tcW w:type="dxa" w:w="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集体</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灌木林地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高原沟壑</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西</w:t>
                  </w:r>
                </w:p>
              </w:tc>
              <w:tc>
                <w:tcPr>
                  <w:tcW w:type="dxa" w:w="1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中上</w:t>
                  </w:r>
                </w:p>
              </w:tc>
              <w:tc>
                <w:tcPr>
                  <w:tcW w:type="dxa" w:w="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45 </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褐土</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&gt;30</w:t>
                  </w:r>
                </w:p>
              </w:tc>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水土保持林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油松、丛生月季</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植苗</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鱼鳞坑</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长80×宽60×深60</w:t>
                  </w:r>
                </w:p>
              </w:tc>
              <w:tc>
                <w:tcPr>
                  <w:tcW w:type="dxa" w:w="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3年</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5次</w:t>
                  </w:r>
                </w:p>
              </w:tc>
            </w:tr>
          </w:tbl>
          <w:tbl>
            <w:tblPr>
              <w:tblBorders>
                <w:top w:val="none" w:color="000000" w:sz="4"/>
                <w:left w:val="none" w:color="000000" w:sz="4"/>
                <w:bottom w:val="none" w:color="000000" w:sz="4"/>
                <w:right w:val="none" w:color="000000" w:sz="4"/>
                <w:insideH w:val="none"/>
                <w:insideV w:val="none"/>
              </w:tblBorders>
            </w:tblPr>
            <w:tblGrid>
              <w:gridCol w:w="140"/>
              <w:gridCol w:w="147"/>
              <w:gridCol w:w="185"/>
              <w:gridCol w:w="131"/>
              <w:gridCol w:w="159"/>
              <w:gridCol w:w="169"/>
              <w:gridCol w:w="150"/>
              <w:gridCol w:w="172"/>
              <w:gridCol w:w="185"/>
              <w:gridCol w:w="175"/>
              <w:gridCol w:w="172"/>
              <w:gridCol w:w="143"/>
              <w:gridCol w:w="140"/>
              <w:gridCol w:w="134"/>
              <w:gridCol w:w="172"/>
              <w:gridCol w:w="140"/>
            </w:tblGrid>
            <w:tr>
              <w:tc>
                <w:tcPr>
                  <w:tcW w:type="dxa" w:w="2514"/>
                  <w:gridSpan w:val="16"/>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b/>
                      <w:color w:val="000000"/>
                    </w:rPr>
                    <w:t>乾县</w:t>
                  </w:r>
                  <w:r>
                    <w:rPr>
                      <w:rFonts w:ascii="仿宋_GB2312" w:hAnsi="仿宋_GB2312" w:cs="仿宋_GB2312" w:eastAsia="仿宋_GB2312"/>
                      <w:sz w:val="21"/>
                      <w:b/>
                      <w:color w:val="000000"/>
                    </w:rPr>
                    <w:t>2025年国土绿化“三区两带</w:t>
                  </w:r>
                  <w:r>
                    <w:rPr>
                      <w:rFonts w:ascii="仿宋_GB2312" w:hAnsi="仿宋_GB2312" w:cs="仿宋_GB2312" w:eastAsia="仿宋_GB2312"/>
                      <w:sz w:val="21"/>
                    </w:rPr>
                    <w:t xml:space="preserve"> </w:t>
                  </w:r>
                  <w:r>
                    <w:rPr>
                      <w:rFonts w:ascii="仿宋_GB2312" w:hAnsi="仿宋_GB2312" w:cs="仿宋_GB2312" w:eastAsia="仿宋_GB2312"/>
                      <w:sz w:val="21"/>
                      <w:b/>
                      <w:color w:val="000000"/>
                    </w:rPr>
                    <w:t>”困难立地直观坡面绿化补助项目苗木量、用工量及物料量统计表</w:t>
                  </w:r>
                  <w:r>
                    <w:rPr>
                      <w:rFonts w:ascii="仿宋_GB2312" w:hAnsi="仿宋_GB2312" w:cs="仿宋_GB2312" w:eastAsia="仿宋_GB2312"/>
                      <w:sz w:val="21"/>
                      <w:b/>
                      <w:color w:val="000000"/>
                    </w:rPr>
                    <w:t>（二标段）</w:t>
                  </w:r>
                </w:p>
              </w:tc>
            </w:tr>
            <w:tr>
              <w:tc>
                <w:tcPr>
                  <w:tcW w:type="dxa" w:w="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县</w:t>
                  </w:r>
                </w:p>
              </w:tc>
              <w:tc>
                <w:tcPr>
                  <w:tcW w:type="dxa" w:w="14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乡镇（林场）</w:t>
                  </w:r>
                </w:p>
              </w:tc>
              <w:tc>
                <w:tcPr>
                  <w:tcW w:type="dxa" w:w="18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作业区</w:t>
                  </w:r>
                </w:p>
              </w:tc>
              <w:tc>
                <w:tcPr>
                  <w:tcW w:type="dxa" w:w="1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小班</w:t>
                  </w:r>
                </w:p>
              </w:tc>
              <w:tc>
                <w:tcPr>
                  <w:tcW w:type="dxa" w:w="15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可作业面积（亩）</w:t>
                  </w:r>
                </w:p>
              </w:tc>
              <w:tc>
                <w:tcPr>
                  <w:tcW w:type="dxa" w:w="676"/>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苗木需要量（含</w:t>
                  </w:r>
                  <w:r>
                    <w:rPr>
                      <w:rFonts w:ascii="仿宋_GB2312" w:hAnsi="仿宋_GB2312" w:cs="仿宋_GB2312" w:eastAsia="仿宋_GB2312"/>
                      <w:sz w:val="18"/>
                    </w:rPr>
                    <w:t>15%补植）</w:t>
                  </w:r>
                </w:p>
              </w:tc>
              <w:tc>
                <w:tcPr>
                  <w:tcW w:type="dxa" w:w="764"/>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用工量（工</w:t>
                  </w:r>
                  <w:r>
                    <w:rPr>
                      <w:rFonts w:ascii="仿宋_GB2312" w:hAnsi="仿宋_GB2312" w:cs="仿宋_GB2312" w:eastAsia="仿宋_GB2312"/>
                      <w:sz w:val="18"/>
                    </w:rPr>
                    <w:t>日）</w:t>
                  </w:r>
                </w:p>
              </w:tc>
              <w:tc>
                <w:tcPr>
                  <w:tcW w:type="dxa" w:w="3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物料量（千克）</w:t>
                  </w:r>
                </w:p>
              </w:tc>
            </w:tr>
            <w:tr>
              <w:tc>
                <w:tcPr>
                  <w:tcW w:type="dxa" w:w="140"/>
                  <w:vMerge/>
                  <w:tcBorders>
                    <w:top w:val="none" w:color="000000" w:sz="4"/>
                    <w:left w:val="single" w:color="000000" w:sz="4"/>
                    <w:bottom w:val="single" w:color="000000" w:sz="4"/>
                    <w:right w:val="single" w:color="000000" w:sz="4"/>
                  </w:tcBorders>
                </w:tcPr>
                <w:p/>
              </w:tc>
              <w:tc>
                <w:tcPr>
                  <w:tcW w:type="dxa" w:w="147"/>
                  <w:vMerge/>
                  <w:tcBorders>
                    <w:top w:val="single" w:color="000000" w:sz="4"/>
                    <w:left w:val="none" w:color="000000" w:sz="4"/>
                    <w:bottom w:val="single" w:color="000000" w:sz="4"/>
                    <w:right w:val="single" w:color="000000" w:sz="4"/>
                  </w:tcBorders>
                </w:tcPr>
                <w:p/>
              </w:tc>
              <w:tc>
                <w:tcPr>
                  <w:tcW w:type="dxa" w:w="185"/>
                  <w:vMerge/>
                  <w:tcBorders>
                    <w:top w:val="single" w:color="000000" w:sz="4"/>
                    <w:left w:val="none" w:color="000000" w:sz="4"/>
                    <w:bottom w:val="single" w:color="000000" w:sz="4"/>
                    <w:right w:val="single" w:color="000000" w:sz="4"/>
                  </w:tcBorders>
                </w:tcPr>
                <w:p/>
              </w:tc>
              <w:tc>
                <w:tcPr>
                  <w:tcW w:type="dxa" w:w="131"/>
                  <w:vMerge/>
                  <w:tcBorders>
                    <w:top w:val="single" w:color="000000" w:sz="4"/>
                    <w:left w:val="none" w:color="000000" w:sz="4"/>
                    <w:bottom w:val="single" w:color="000000" w:sz="4"/>
                    <w:right w:val="single" w:color="000000" w:sz="4"/>
                  </w:tcBorders>
                </w:tcPr>
                <w:p/>
              </w:tc>
              <w:tc>
                <w:tcPr>
                  <w:tcW w:type="dxa" w:w="159"/>
                  <w:vMerge/>
                  <w:tcBorders>
                    <w:top w:val="single" w:color="000000" w:sz="4"/>
                    <w:left w:val="none" w:color="000000" w:sz="4"/>
                    <w:bottom w:val="single" w:color="000000" w:sz="4"/>
                    <w:right w:val="single" w:color="000000" w:sz="4"/>
                  </w:tcBorders>
                </w:tcP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小计</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女贞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油松</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丛生月季</w:t>
                  </w:r>
                </w:p>
              </w:tc>
              <w:tc>
                <w:tcPr>
                  <w:tcW w:type="dxa" w:w="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合计</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整地</w:t>
                  </w:r>
                </w:p>
              </w:tc>
              <w:tc>
                <w:tcPr>
                  <w:tcW w:type="dxa" w:w="1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栽植</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补植</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抚育</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保水剂</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GGR6</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总</w:t>
                  </w:r>
                  <w:r>
                    <w:rPr>
                      <w:rFonts w:ascii="仿宋_GB2312" w:hAnsi="仿宋_GB2312" w:cs="仿宋_GB2312" w:eastAsia="仿宋_GB2312"/>
                      <w:sz w:val="18"/>
                    </w:rPr>
                    <w:t xml:space="preserve">  </w:t>
                  </w:r>
                  <w:r>
                    <w:rPr>
                      <w:rFonts w:ascii="仿宋_GB2312" w:hAnsi="仿宋_GB2312" w:cs="仿宋_GB2312" w:eastAsia="仿宋_GB2312"/>
                      <w:sz w:val="18"/>
                    </w:rPr>
                    <w:t>计</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274</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23290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765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11263</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11263</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3562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1370</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1096</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274</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822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110</w:t>
                  </w:r>
                </w:p>
              </w:tc>
            </w:tr>
            <w:tr>
              <w:tc>
                <w:tcPr>
                  <w:tcW w:type="dxa" w:w="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乾县</w:t>
                  </w:r>
                </w:p>
              </w:tc>
              <w:tc>
                <w:tcPr>
                  <w:tcW w:type="dxa" w:w="1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城关街道办</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合计</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274</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23290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765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11263</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11263</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3562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1370</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1096</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274</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822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110</w:t>
                  </w:r>
                </w:p>
              </w:tc>
            </w:tr>
            <w:tr>
              <w:tc>
                <w:tcPr>
                  <w:tcW w:type="dxa" w:w="140"/>
                  <w:vMerge/>
                  <w:tcBorders>
                    <w:top w:val="none" w:color="000000" w:sz="4"/>
                    <w:left w:val="singl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贾赵村</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小计</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1445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723</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723</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85</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r>
            <w:tr>
              <w:tc>
                <w:tcPr>
                  <w:tcW w:type="dxa" w:w="140"/>
                  <w:vMerge/>
                  <w:tcBorders>
                    <w:top w:val="none" w:color="000000" w:sz="4"/>
                    <w:left w:val="singl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1020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156</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r>
            <w:tr>
              <w:tc>
                <w:tcPr>
                  <w:tcW w:type="dxa" w:w="140"/>
                  <w:vMerge/>
                  <w:tcBorders>
                    <w:top w:val="none" w:color="000000" w:sz="4"/>
                    <w:left w:val="singl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213</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213</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140"/>
                  <w:vMerge/>
                  <w:tcBorders>
                    <w:top w:val="none" w:color="000000" w:sz="4"/>
                    <w:left w:val="singl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南北村</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小计</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229</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19465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765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9350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9350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2977</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1145</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916</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229</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687</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92</w:t>
                  </w:r>
                </w:p>
              </w:tc>
            </w:tr>
            <w:tr>
              <w:tc>
                <w:tcPr>
                  <w:tcW w:type="dxa" w:w="140"/>
                  <w:vMerge/>
                  <w:tcBorders>
                    <w:top w:val="none" w:color="000000" w:sz="4"/>
                    <w:left w:val="singl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2635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1318</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1318</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403</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155</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124</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93</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r>
            <w:tr>
              <w:tc>
                <w:tcPr>
                  <w:tcW w:type="dxa" w:w="140"/>
                  <w:vMerge/>
                  <w:tcBorders>
                    <w:top w:val="none" w:color="000000" w:sz="4"/>
                    <w:left w:val="singl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1700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r>
            <w:tr>
              <w:tc>
                <w:tcPr>
                  <w:tcW w:type="dxa" w:w="140"/>
                  <w:vMerge/>
                  <w:tcBorders>
                    <w:top w:val="none" w:color="000000" w:sz="4"/>
                    <w:left w:val="singl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4420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2210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2210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676</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260</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208</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156</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r>
            <w:tr>
              <w:tc>
                <w:tcPr>
                  <w:tcW w:type="dxa" w:w="140"/>
                  <w:vMerge/>
                  <w:tcBorders>
                    <w:top w:val="none" w:color="000000" w:sz="4"/>
                    <w:left w:val="singl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1700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r>
            <w:tr>
              <w:tc>
                <w:tcPr>
                  <w:tcW w:type="dxa" w:w="140"/>
                  <w:vMerge/>
                  <w:tcBorders>
                    <w:top w:val="none" w:color="000000" w:sz="4"/>
                    <w:left w:val="singl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765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765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117</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r>
            <w:tr>
              <w:tc>
                <w:tcPr>
                  <w:tcW w:type="dxa" w:w="140"/>
                  <w:vMerge/>
                  <w:tcBorders>
                    <w:top w:val="none" w:color="000000" w:sz="4"/>
                    <w:left w:val="singl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1190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595</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595</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r>
            <w:tr>
              <w:tc>
                <w:tcPr>
                  <w:tcW w:type="dxa" w:w="140"/>
                  <w:vMerge/>
                  <w:tcBorders>
                    <w:top w:val="none" w:color="000000" w:sz="4"/>
                    <w:left w:val="singl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3655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1828</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1828</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559</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215</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172</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129</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r>
            <w:tr>
              <w:tc>
                <w:tcPr>
                  <w:tcW w:type="dxa" w:w="140"/>
                  <w:vMerge/>
                  <w:tcBorders>
                    <w:top w:val="none" w:color="000000" w:sz="4"/>
                    <w:left w:val="singl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秦袁庄村</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小计</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2380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1190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1190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364</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140</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112</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84</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r>
            <w:tr>
              <w:tc>
                <w:tcPr>
                  <w:tcW w:type="dxa" w:w="140"/>
                  <w:vMerge/>
                  <w:tcBorders>
                    <w:top w:val="none" w:color="000000" w:sz="4"/>
                    <w:left w:val="singl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128</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128</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40"/>
                  <w:vMerge/>
                  <w:tcBorders>
                    <w:top w:val="none" w:color="000000" w:sz="4"/>
                    <w:left w:val="singl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104</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r>
            <w:tr>
              <w:tc>
                <w:tcPr>
                  <w:tcW w:type="dxa" w:w="140"/>
                  <w:vMerge/>
                  <w:tcBorders>
                    <w:top w:val="none" w:color="000000" w:sz="4"/>
                    <w:left w:val="singl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104</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r>
            <w:tr>
              <w:tc>
                <w:tcPr>
                  <w:tcW w:type="dxa" w:w="140"/>
                  <w:vMerge/>
                  <w:tcBorders>
                    <w:top w:val="none" w:color="000000" w:sz="4"/>
                    <w:left w:val="singl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765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383</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383</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117</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 1 名，其余人员根据项目实际需要足额配备。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项目负责人 1 名，其余人员根据项目实际需要足额配备。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根据项目实际需要足额配备。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根据项目实际需要足额配备。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乾县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乾县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达到国家及行业相关验收规范合格标准。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达到国家及行业相关验收规范合格标准。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验收通过后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按照审计局审计结论</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验收通过后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按照审计局审计结论</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进行的，采购人有权终止合同，并对供应商违约行为进行追究，同时按《中华人民共和国政府采购法》的有关规定进行处罚。3.根据具体违约和争议内容协商，若协商未果，可向项目所在地人民法院诉讼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2.未按合同要求进行的，采购人有权终止合同，并对供应商违约行为进行追究，同时按《中华人民共和国政府采购法》的有关规定进行处罚。3.根据具体违约和争议内容协商，若协商未果，可向项目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证明资料：1.具有独立承担民事责任能力的法人、其他组织或自然人，并出具合法有效的营业执照或事业单位法人证书等国家规定的相关证明，自然人参与的提供其身份证明；2.税收缴纳证明：提供开标截止时间前半年内已缴纳的至少一个月的纳税证明或完税证明（任意税种），依法免税的单位应提供相关证明材料；3.社会保障资金缴纳证明：提供开标截止时间前半年内已缴存的至少一个月的社会保障资金缴存凭证或社保机构开具的社会保险参保证明，依法不需要缴纳社会保障资金的单位应提供相关证明材料；4.承诺声明：提供具有履行合同所必需的设备和专业技术能力的承诺声明；5.书面声明：提供参加政府采购活动前 3 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并提供经审计的完整的2024年度财务报告（成立时间至竞争性磋商响应文件递交截止时间不足一年的，可提供成立后任意时段的资产负债表），或竞争性磋商响应文件递交截止时间前三个月内其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供应商需在项目电子化交易系统中按要求填写《投标函》完成承诺并进行电子签章。并提供以下证明资料： 1.具有独立承担民事责任能力的法人、其他组织或自然人，并出具合法有效的营业执照或事业单位法人证书等国家规定的相关证明，自然人参与的提供其身份证明； 2.税收缴纳证明：提供开标截止时间前半年内已缴纳的至少一个月的纳税证明或完税证明（任意税种），依法免税的单位应提供相关证明材料； 3.社会保障资金缴纳证明：提供开标截止时间前半年内已缴存的至少一个月的社会保障资金缴存凭证或社保机构开具的社会保险参保证明，依法不需要缴纳社会保障资金的单位应提供相关证明材料； 4.承诺声明：提供具有履行合同所必需的设备和专业技术能力的承诺声明； 5.书面声明：提供参加政府采购活动前 3 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并提供经审计的完整的2024年度财务报告（成立时间至竞争性磋商响应文件递交截止时间不足一年的，可提供成立后任意时段的资产负债表），或竞争性磋商响应文件递交截止时间前三个月内其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拟派项目负责人须具备林业或园林绿化相关专业中级（含）及以上职称，且无在建项目。</w:t>
            </w:r>
          </w:p>
        </w:tc>
        <w:tc>
          <w:tcPr>
            <w:tcW w:type="dxa" w:w="1661"/>
          </w:tcPr>
          <w:p>
            <w:pPr>
              <w:pStyle w:val="null3"/>
            </w:pPr>
            <w:r>
              <w:rPr>
                <w:rFonts w:ascii="仿宋_GB2312" w:hAnsi="仿宋_GB2312" w:cs="仿宋_GB2312" w:eastAsia="仿宋_GB2312"/>
              </w:rPr>
              <w:t>项目团队组成.docx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非法人参加磋商，须出具法定代表人授权书（附法定代表人、被授权人身份证复印件）及授权代表身份证；法定代表人参加磋商的，须提供法定代表人身份证明书及身份证。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 （www.ccgp.gov.cn）政府采购严重违法失信行为记录名单中被财政部门禁止参加政府采购活动的供应商。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企业关联声明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单位负责人为同一人或者存在直接控股、管理关系的不同投标人，不得参加同一招标项目的投标活动。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拟派项目负责人须具备林业或园林绿化相关专业中级（含）及以上职称，且无在建项目。</w:t>
            </w:r>
          </w:p>
        </w:tc>
        <w:tc>
          <w:tcPr>
            <w:tcW w:type="dxa" w:w="1661"/>
          </w:tcPr>
          <w:p>
            <w:pPr>
              <w:pStyle w:val="null3"/>
            </w:pPr>
            <w:r>
              <w:rPr>
                <w:rFonts w:ascii="仿宋_GB2312" w:hAnsi="仿宋_GB2312" w:cs="仿宋_GB2312" w:eastAsia="仿宋_GB2312"/>
              </w:rPr>
              <w:t>项目团队组成.docx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非法人参加磋商，须出具法定代表人授权书（附法定代表人、被授权人身份证复印件）及授权代表身份证；法定代表人参加磋商的，须提供法定代表人身份证明书及身份证。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 （www.ccgp.gov.cn）政府采购严重违法失信行为记录名单中被财政部门禁止参加政府采购活动的供应商。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企业关联声明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单位负责人为同一人或者存在直接控股、管理关系的不同投标人，不得参加同一招标项目的投标活动。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分项报价表.docx 偏离表.docx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报价一览表.docx 供应商类似项目业绩一览表.docx 中小企业声明函 安全生产组织措施.docx 偏离表.docx 服务承诺.docx 质量保证措施.docx 报价表 响应文件封面 分项报价表.docx 供应商应提交的相关资格证明材料.docx 残疾人福利性单位声明函 施工方案.docx 文明施工技术组织措施.docx 供应商拒绝贿赂承诺书.docx 标的清单 项目团队组成.docx 响应函 工期保证措施.docx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投标报价符合唯一性要求、报价货币符合招标文件要求、未出现漏报、未超出采购预算和竞争性磋商文件规定的最高限价；只能有一个有效报价，不得提交选择性报价。</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报价一览表.docx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分项报价表.docx 偏离表.docx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报价一览表.docx 供应商类似项目业绩一览表.docx 中小企业声明函 安全生产组织措施.docx 偏离表.docx 服务承诺.docx 质量保证措施.docx 报价表 响应文件封面 分项报价表.docx 供应商应提交的相关资格证明材料.docx 残疾人福利性单位声明函 施工方案.docx 文明施工技术组织措施.docx 供应商拒绝贿赂承诺书.docx 标的清单 项目团队组成.docx 响应函 工期保证措施.docx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投标报价符合唯一性要求、报价货币符合招标文件要求、未出现漏报、未超出采购预算和竞争性磋商文件规定的最高限价；只能有一个有效报价，不得提交选择性报价。</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报价一览表.docx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提供2023年03月01日至今类似项目业绩，并附业绩证明材料（以合同主要信息页为准）复印件加盖供应商公章，每提供一个计2分，满分6分。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项目负责人具备相关专业（林业、园林等）高级职称，得2分；其他职称不得分。 项目负责人近三年（自2023年03月01日起至投标截止时间，以合同签订时间为准）具有类似项目合同协议书证明资料，每提供一份得1分，该项最多得3分。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项目团队组成.docx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项目实施完成后乙方必须按规定对项目实行免费管养，包括但不限于栽后管理、成活率、保存率调查与补植、管护、抚育、除草，施肥、修剪及时防治病虫害等。对以上内容作出承诺及具体实施方案。承诺及实施方案完整规范，管养内容全覆盖、措施具体可落地。方案针对性强、保障到位，具备可考核、可验收、可追溯性，得10分；方案具备一定可行性，但措施不够细化。承诺及管养内容基本齐全，无重大缺项，得7分；方案不合理、操作性差，无法满足项目实际管养需求，承诺模糊、管养内容缺项较多，关键措施缺失，得3分；未提供或所提供内容与项目要求无关。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针对本项目编制施工方案；根据施工方案内容详细程度、针对性、完整性、可操作性进行评审。施工方案内容全面完整、针对性强、深度充足、措施具体可行、可操作性强，完全响应并满足本项目施工要求，得10 分；施工方案内容基本完整、具备一定针对性与可操作性，能够基本响应并满足本项目施工要求，得6 分； 施工方案内容不够全面、针对性较弱、深度不足、可操作性一般，未能全面响应本项目施工要求，得3 分； 未按要求提供施工方案的不得分。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编制工程质量保证措施，根据措施的详细程度、合理性、可行性、针对性及完整性进行评审：质量保证措施全面完整、针对性强、内容详实、措施合理可行，完全响应并满足本项目质量管控要求的，得8 分；质量保证措施基本完整、具备一定针对性与可行性，能够基本响应并满足本项目质量管控要求的，得5 分；质量保证措施不够全面、针对性较弱、合理性与可行性一般，未能全面响应本项目质量管控要求的，得2分；未按要求提供工程质量保证措施的不得分。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针对本项目编制确保工程工期的技术组织措施，根据措施的科学性、合理性、可行性及针对性进行评审：工期技术组织措施科学合理、针对性强、详实可行、完全响应项目工期要求的，得 8 分；措施基本合理可行，能够基本满足项目工期要求的，得 5 分；措施不够全面、针对性一般、可行性较弱的，得 2 分；未提供本项内容的不得分。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工期保证措施.docx</w:t>
            </w:r>
          </w:p>
        </w:tc>
      </w:tr>
      <w:tr>
        <w:tc>
          <w:tcPr>
            <w:tcW w:type="dxa" w:w="831"/>
            <w:vMerge/>
          </w:tcPr>
          <w:p/>
        </w:tc>
        <w:tc>
          <w:tcPr>
            <w:tcW w:type="dxa" w:w="1661"/>
          </w:tcPr>
          <w:p>
            <w:pPr>
              <w:pStyle w:val="null3"/>
            </w:pPr>
            <w:r>
              <w:rPr>
                <w:rFonts w:ascii="仿宋_GB2312" w:hAnsi="仿宋_GB2312" w:cs="仿宋_GB2312" w:eastAsia="仿宋_GB2312"/>
              </w:rPr>
              <w:t>安全生产组织措施</w:t>
            </w:r>
          </w:p>
        </w:tc>
        <w:tc>
          <w:tcPr>
            <w:tcW w:type="dxa" w:w="2492"/>
          </w:tcPr>
          <w:p>
            <w:pPr>
              <w:pStyle w:val="null3"/>
            </w:pPr>
            <w:r>
              <w:rPr>
                <w:rFonts w:ascii="仿宋_GB2312" w:hAnsi="仿宋_GB2312" w:cs="仿宋_GB2312" w:eastAsia="仿宋_GB2312"/>
              </w:rPr>
              <w:t>针对本项目编制确保工程安全生产的技术组织措施，依据措施的详细程度、针对性、安全性、可行性进行评审：内容全面详实、针对性强、安全可靠、切实可行，完全响应项目安全生产要求的，得 8 分；内容基本完整、具备一定可行性，基本满足项目安全生产要求的，得 5 分；内容不够全面、针对性不足、可行性一般的，得 2 分；未提供本项内容的不得分。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安全生产组织措施.docx</w:t>
            </w:r>
          </w:p>
        </w:tc>
      </w:tr>
      <w:tr>
        <w:tc>
          <w:tcPr>
            <w:tcW w:type="dxa" w:w="831"/>
            <w:vMerge/>
          </w:tcPr>
          <w:p/>
        </w:tc>
        <w:tc>
          <w:tcPr>
            <w:tcW w:type="dxa" w:w="1661"/>
          </w:tcPr>
          <w:p>
            <w:pPr>
              <w:pStyle w:val="null3"/>
            </w:pPr>
            <w:r>
              <w:rPr>
                <w:rFonts w:ascii="仿宋_GB2312" w:hAnsi="仿宋_GB2312" w:cs="仿宋_GB2312" w:eastAsia="仿宋_GB2312"/>
              </w:rPr>
              <w:t>文明施工技术组织措施</w:t>
            </w:r>
          </w:p>
        </w:tc>
        <w:tc>
          <w:tcPr>
            <w:tcW w:type="dxa" w:w="2492"/>
          </w:tcPr>
          <w:p>
            <w:pPr>
              <w:pStyle w:val="null3"/>
            </w:pPr>
            <w:r>
              <w:rPr>
                <w:rFonts w:ascii="仿宋_GB2312" w:hAnsi="仿宋_GB2312" w:cs="仿宋_GB2312" w:eastAsia="仿宋_GB2312"/>
              </w:rPr>
              <w:t>针对本项目编制确保工程文明施工（含环境保护措施）的技术组织措施，依据措施的详细程度、针对性、合理性、可行性及完整性进行评审：内容全面完整、针对性强、合理可行，完全响应项目文明施工及环境保护要求的，得 8 分；内容基本完整、具备一定合理性与可行性，基本满足项目文明施工及环境保护要求的，得 5 分；内容不够全面、针对性不足、合理性与可行性一般的，得 2 分；未提供本项内容的不得分。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文明施工技术组织措施.docx</w:t>
            </w:r>
          </w:p>
        </w:tc>
      </w:tr>
      <w:tr>
        <w:tc>
          <w:tcPr>
            <w:tcW w:type="dxa" w:w="831"/>
            <w:vMerge/>
          </w:tcPr>
          <w:p/>
        </w:tc>
        <w:tc>
          <w:tcPr>
            <w:tcW w:type="dxa" w:w="1661"/>
          </w:tcPr>
          <w:p>
            <w:pPr>
              <w:pStyle w:val="null3"/>
            </w:pPr>
            <w:r>
              <w:rPr>
                <w:rFonts w:ascii="仿宋_GB2312" w:hAnsi="仿宋_GB2312" w:cs="仿宋_GB2312" w:eastAsia="仿宋_GB2312"/>
              </w:rPr>
              <w:t>项目经理部人员组成</w:t>
            </w:r>
          </w:p>
        </w:tc>
        <w:tc>
          <w:tcPr>
            <w:tcW w:type="dxa" w:w="2492"/>
          </w:tcPr>
          <w:p>
            <w:pPr>
              <w:pStyle w:val="null3"/>
            </w:pPr>
            <w:r>
              <w:rPr>
                <w:rFonts w:ascii="仿宋_GB2312" w:hAnsi="仿宋_GB2312" w:cs="仿宋_GB2312" w:eastAsia="仿宋_GB2312"/>
              </w:rPr>
              <w:t>针对本项目项目经理部组成及劳动力投入方案，依据项目经理部人员配置合理性、管理制度完善性、岗位职责分工明确性及劳动力投入计划详细程度、配置匹配性、保障措施可行性进行评审：方案中项目经理部组织架构清晰、人员配置合理、管理制度健全、岗位职责分工明确，劳动力投入计划详实具体、与项目施工需求精准匹配、保障措施可行，完全响应本项目实施要求的，得 7 分；方案基本满足项目经理部基础配置要求、劳动力投入计划具备初步合理性，能够基本支撑项目施工推进的，得 3 分；方案中项目经理部组成不够完善、分工不够明确，劳动力投入计划粗糙、针对性不足，未能全面响应项目实施要求的，得 1 分；未提供本项内容的不得分。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项目团队组成.docx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3.磋商报价得分=（磋商基准价/最终磋商报价）×30%×100的公式计算得分。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提供2023年03月01日至今类似项目业绩，并附业绩证明材料（以合同主要信息页为准）复印件加盖供应商公章，每提供一个计2分，满分6分。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项目负责人具备相关专业（林业、园林等）高级职称，得2分；其他职称不得分。 项目负责人近三年（自2023年03月01日起至投标截止时间，以合同签订时间为准）具有类似项目合同协议书证明资料，每提供一份得1分，该项最多得3分。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项目团队组成.docx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项目实施完成后乙方必须按规定对项目实行免费管养，包括但不限于栽后管理、成活率、保存率调查与补植、管护、抚育、除草，施肥、修剪及时防治病虫害等。对以上内容作出承诺及具体实施方案。承诺及实施方案完整规范，管养内容全覆盖、措施具体可落地。方案针对性强、保障到位，具备可考核、可验收、可追溯性，得10分；方案具备一定可行性，但措施不够细化。承诺及管养内容基本齐全，无重大缺项，得7分；方案不合理、操作性差，无法满足项目实际管养需求，承诺模糊、管养内容缺项较多，关键措施缺失，得3分；未提供或所提供内容与项目要求无关。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针对本项目编制施工方案；根据施工方案内容详细程度、针对性、完整性、可操作性进行评审。施工方案内容全面完整、针对性强、深度充足、措施具体可行、可操作性强，完全响应并满足本项目施工要求，得10 分；施工方案内容基本完整、具备一定针对性与可操作性，能够基本响应并满足本项目施工要求，得6 分； 施工方案内容不够全面、针对性较弱、深度不足、可操作性一般，未能全面响应本项目施工要求，得3 分； 未按要求提供施工方案的不得分。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编制工程质量保证措施，根据措施的详细程度、合理性、可行性、针对性及完整性进行评审：质量保证措施全面完整、针对性强、内容详实、措施合理可行，完全响应并满足本项目质量管控要求的，得8 分；质量保证措施基本完整、具备一定针对性与可行性，能够基本响应并满足本项目质量管控要求的，得5 分；质量保证措施不够全面、针对性较弱、合理性与可行性一般，未能全面响应本项目质量管控要求的，得2分；未按要求提供工程质量保证措施的不得分。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针对本项目编制确保工程工期的技术组织措施，根据措施的科学性、合理性、可行性及针对性进行评审：工期技术组织措施科学合理、针对性强、详实可行、完全响应项目工期要求的，得 8 分；措施基本合理可行，能够基本满足项目工期要求的，得 5 分；措施不够全面、针对性一般、可行性较弱的，得 2 分；未提供本项内容的不得分。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工期保证措施.docx</w:t>
            </w:r>
          </w:p>
        </w:tc>
      </w:tr>
      <w:tr>
        <w:tc>
          <w:tcPr>
            <w:tcW w:type="dxa" w:w="831"/>
            <w:vMerge/>
          </w:tcPr>
          <w:p/>
        </w:tc>
        <w:tc>
          <w:tcPr>
            <w:tcW w:type="dxa" w:w="1661"/>
          </w:tcPr>
          <w:p>
            <w:pPr>
              <w:pStyle w:val="null3"/>
            </w:pPr>
            <w:r>
              <w:rPr>
                <w:rFonts w:ascii="仿宋_GB2312" w:hAnsi="仿宋_GB2312" w:cs="仿宋_GB2312" w:eastAsia="仿宋_GB2312"/>
              </w:rPr>
              <w:t>安全生产组织措施</w:t>
            </w:r>
          </w:p>
        </w:tc>
        <w:tc>
          <w:tcPr>
            <w:tcW w:type="dxa" w:w="2492"/>
          </w:tcPr>
          <w:p>
            <w:pPr>
              <w:pStyle w:val="null3"/>
            </w:pPr>
            <w:r>
              <w:rPr>
                <w:rFonts w:ascii="仿宋_GB2312" w:hAnsi="仿宋_GB2312" w:cs="仿宋_GB2312" w:eastAsia="仿宋_GB2312"/>
              </w:rPr>
              <w:t>针对本项目编制确保工程安全生产的技术组织措施，依据措施的详细程度、针对性、安全性、可行性进行评审：内容全面详实、针对性强、安全可靠、切实可行，完全响应项目安全生产要求的，得 8 分；内容基本完整、具备一定可行性，基本满足项目安全生产要求的，得 5 分；内容不够全面、针对性不足、可行性一般的，得 2 分；未提供本项内容的不得分。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安全生产组织措施.docx</w:t>
            </w:r>
          </w:p>
        </w:tc>
      </w:tr>
      <w:tr>
        <w:tc>
          <w:tcPr>
            <w:tcW w:type="dxa" w:w="831"/>
            <w:vMerge/>
          </w:tcPr>
          <w:p/>
        </w:tc>
        <w:tc>
          <w:tcPr>
            <w:tcW w:type="dxa" w:w="1661"/>
          </w:tcPr>
          <w:p>
            <w:pPr>
              <w:pStyle w:val="null3"/>
            </w:pPr>
            <w:r>
              <w:rPr>
                <w:rFonts w:ascii="仿宋_GB2312" w:hAnsi="仿宋_GB2312" w:cs="仿宋_GB2312" w:eastAsia="仿宋_GB2312"/>
              </w:rPr>
              <w:t>文明施工技术组织措施</w:t>
            </w:r>
          </w:p>
        </w:tc>
        <w:tc>
          <w:tcPr>
            <w:tcW w:type="dxa" w:w="2492"/>
          </w:tcPr>
          <w:p>
            <w:pPr>
              <w:pStyle w:val="null3"/>
            </w:pPr>
            <w:r>
              <w:rPr>
                <w:rFonts w:ascii="仿宋_GB2312" w:hAnsi="仿宋_GB2312" w:cs="仿宋_GB2312" w:eastAsia="仿宋_GB2312"/>
              </w:rPr>
              <w:t>针对本项目编制确保工程文明施工（含环境保护措施）的技术组织措施，依据措施的详细程度、针对性、合理性、可行性及完整性进行评审：内容全面完整、针对性强、合理可行，完全响应项目文明施工及环境保护要求的，得 8 分；内容基本完整、具备一定合理性与可行性，基本满足项目文明施工及环境保护要求的，得 5 分；内容不够全面、针对性不足、合理性与可行性一般的，得 2 分；未提供本项内容的不得分。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文明施工技术组织措施.docx</w:t>
            </w:r>
          </w:p>
        </w:tc>
      </w:tr>
      <w:tr>
        <w:tc>
          <w:tcPr>
            <w:tcW w:type="dxa" w:w="831"/>
            <w:vMerge/>
          </w:tcPr>
          <w:p/>
        </w:tc>
        <w:tc>
          <w:tcPr>
            <w:tcW w:type="dxa" w:w="1661"/>
          </w:tcPr>
          <w:p>
            <w:pPr>
              <w:pStyle w:val="null3"/>
            </w:pPr>
            <w:r>
              <w:rPr>
                <w:rFonts w:ascii="仿宋_GB2312" w:hAnsi="仿宋_GB2312" w:cs="仿宋_GB2312" w:eastAsia="仿宋_GB2312"/>
              </w:rPr>
              <w:t>项目经理部人员组成</w:t>
            </w:r>
          </w:p>
        </w:tc>
        <w:tc>
          <w:tcPr>
            <w:tcW w:type="dxa" w:w="2492"/>
          </w:tcPr>
          <w:p>
            <w:pPr>
              <w:pStyle w:val="null3"/>
            </w:pPr>
            <w:r>
              <w:rPr>
                <w:rFonts w:ascii="仿宋_GB2312" w:hAnsi="仿宋_GB2312" w:cs="仿宋_GB2312" w:eastAsia="仿宋_GB2312"/>
              </w:rPr>
              <w:t>针对本项目项目经理部组成及劳动力投入方案，依据项目经理部人员配置合理性、管理制度完善性、岗位职责分工明确性及劳动力投入计划详细程度、配置匹配性、保障措施可行性进行评审：方案中项目经理部组织架构清晰、人员配置合理、管理制度健全、岗位职责分工明确，劳动力投入计划详实具体、与项目施工需求精准匹配、保障措施可行，完全响应本项目实施要求的，得 7 分；方案基本满足项目经理部基础配置要求、劳动力投入计划具备初步合理性，能够基本支撑项目施工推进的，得 3 分；方案中项目经理部组成不够完善、分工不够明确，劳动力投入计划粗糙、针对性不足，未能全面响应项目实施要求的，得 1 分；未提供本项内容的不得分。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项目团队组成.docx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3.磋商报价得分=（磋商基准价/最终磋商报价）×30%×100的公式计算得分。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详见附件：安全生产组织措施.docx</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详见附件：工期保证措施.docx</w:t>
      </w:r>
    </w:p>
    <w:p>
      <w:pPr>
        <w:pStyle w:val="null3"/>
        <w:ind w:firstLine="960"/>
      </w:pPr>
      <w:r>
        <w:rPr>
          <w:rFonts w:ascii="仿宋_GB2312" w:hAnsi="仿宋_GB2312" w:cs="仿宋_GB2312" w:eastAsia="仿宋_GB2312"/>
        </w:rPr>
        <w:t>详见附件：供应商拒绝贿赂承诺书.docx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详见附件：文明施工技术组织措施.docx</w:t>
      </w:r>
    </w:p>
    <w:p>
      <w:pPr>
        <w:pStyle w:val="null3"/>
        <w:ind w:firstLine="960"/>
      </w:pPr>
      <w:r>
        <w:rPr>
          <w:rFonts w:ascii="仿宋_GB2312" w:hAnsi="仿宋_GB2312" w:cs="仿宋_GB2312" w:eastAsia="仿宋_GB2312"/>
        </w:rPr>
        <w:t>详见附件：项目团队组成.docx</w:t>
      </w:r>
    </w:p>
    <w:p>
      <w:pPr>
        <w:pStyle w:val="null3"/>
        <w:ind w:firstLine="960"/>
      </w:pPr>
      <w:r>
        <w:rPr>
          <w:rFonts w:ascii="仿宋_GB2312" w:hAnsi="仿宋_GB2312" w:cs="仿宋_GB2312" w:eastAsia="仿宋_GB2312"/>
        </w:rPr>
        <w:t>详见附件：质量保证措施.docx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详见附件：安全生产组织措施.docx</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详见附件：工期保证措施.docx</w:t>
      </w:r>
    </w:p>
    <w:p>
      <w:pPr>
        <w:pStyle w:val="null3"/>
        <w:ind w:firstLine="960"/>
      </w:pPr>
      <w:r>
        <w:rPr>
          <w:rFonts w:ascii="仿宋_GB2312" w:hAnsi="仿宋_GB2312" w:cs="仿宋_GB2312" w:eastAsia="仿宋_GB2312"/>
        </w:rPr>
        <w:t>详见附件：供应商拒绝贿赂承诺书.docx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详见附件：文明施工技术组织措施.docx</w:t>
      </w:r>
    </w:p>
    <w:p>
      <w:pPr>
        <w:pStyle w:val="null3"/>
        <w:ind w:firstLine="960"/>
      </w:pPr>
      <w:r>
        <w:rPr>
          <w:rFonts w:ascii="仿宋_GB2312" w:hAnsi="仿宋_GB2312" w:cs="仿宋_GB2312" w:eastAsia="仿宋_GB2312"/>
        </w:rPr>
        <w:t>详见附件：项目团队组成.docx</w:t>
      </w:r>
    </w:p>
    <w:p>
      <w:pPr>
        <w:pStyle w:val="null3"/>
        <w:ind w:firstLine="960"/>
      </w:pPr>
      <w:r>
        <w:rPr>
          <w:rFonts w:ascii="仿宋_GB2312" w:hAnsi="仿宋_GB2312" w:cs="仿宋_GB2312" w:eastAsia="仿宋_GB2312"/>
        </w:rPr>
        <w:t>详见附件：质量保证措施.docx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