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版本号：DY-2026002-FW20260414002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乾县2026年春季义务植树项目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DY-2026002-FW</w:t>
      </w:r>
      <w:r>
        <w:br/>
      </w:r>
      <w:r>
        <w:br/>
      </w:r>
      <w:r>
        <w:br/>
      </w:r>
    </w:p>
    <w:p>
      <w:pPr>
        <w:pStyle w:val="null3"/>
        <w:jc w:val="center"/>
        <w:outlineLvl w:val="2"/>
      </w:pPr>
      <w:r>
        <w:rPr>
          <w:rFonts w:ascii="仿宋_GB2312" w:hAnsi="仿宋_GB2312" w:cs="仿宋_GB2312" w:eastAsia="仿宋_GB2312"/>
          <w:sz w:val="28"/>
          <w:b/>
        </w:rPr>
        <w:t>乾县乾陵风景林场</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乾县乾陵风景林场</w:t>
      </w:r>
      <w:r>
        <w:rPr>
          <w:rFonts w:ascii="仿宋_GB2312" w:hAnsi="仿宋_GB2312" w:cs="仿宋_GB2312" w:eastAsia="仿宋_GB2312"/>
        </w:rPr>
        <w:t>委托，拟对</w:t>
      </w:r>
      <w:r>
        <w:rPr>
          <w:rFonts w:ascii="仿宋_GB2312" w:hAnsi="仿宋_GB2312" w:cs="仿宋_GB2312" w:eastAsia="仿宋_GB2312"/>
        </w:rPr>
        <w:t>乾县2026年春季义务植树项目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DY-2026002-FW</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乾县2026年春季义务植树项目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杂木清理、垃圾内倒、土方平整、土方回填、栽植乔木、绿篱等。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采购包1（乾县2026年春季义务植树项目）：属于专门面向中小企业采购。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为具有独立承担民事责任能力的企业法人、事业法人、其他组织或自然人：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p>
      <w:pPr>
        <w:pStyle w:val="null3"/>
      </w:pPr>
      <w:r>
        <w:rPr>
          <w:rFonts w:ascii="仿宋_GB2312" w:hAnsi="仿宋_GB2312" w:cs="仿宋_GB2312" w:eastAsia="仿宋_GB2312"/>
        </w:rPr>
        <w:t>2、供应商应授权合法的人员参加投标：供应商应授权合法的人员参加投标，法定代表人（或单位负责人）直接参加的，须出具法定代表人（或单位负责人）身份证明及身份证，并与营业执照上信息一致；授权代表参加的，须出具法定代表人（或单位负责人）授权委托书及被授权人身份证。</w:t>
      </w:r>
    </w:p>
    <w:p>
      <w:pPr>
        <w:pStyle w:val="null3"/>
      </w:pPr>
      <w:r>
        <w:rPr>
          <w:rFonts w:ascii="仿宋_GB2312" w:hAnsi="仿宋_GB2312" w:cs="仿宋_GB2312" w:eastAsia="仿宋_GB2312"/>
        </w:rPr>
        <w:t>3、供应商应提供健全的财务会计制度：供应商需提2024年度的财务报告（至少包括财务报告、资产负债表、利润表（或损益表）、现金流量表，成立时间至递交响应文件截止时间不足一年的可提供成立后任意时段的资产负债表），或其开标前三个月内基本存款账户开户银行出具的资信证明及基本存款账户开户信息，其他组织和自然人提供银行出具的资信证明或财务报表。</w:t>
      </w:r>
    </w:p>
    <w:p>
      <w:pPr>
        <w:pStyle w:val="null3"/>
      </w:pPr>
      <w:r>
        <w:rPr>
          <w:rFonts w:ascii="仿宋_GB2312" w:hAnsi="仿宋_GB2312" w:cs="仿宋_GB2312" w:eastAsia="仿宋_GB2312"/>
        </w:rPr>
        <w:t>4、税收缴纳证明：供应商提供响应文件递交截止时间前六个月内任意一月已缴纳的纳税证明或完税证明，依法免税的供应商应提供相关证明文件。</w:t>
      </w:r>
    </w:p>
    <w:p>
      <w:pPr>
        <w:pStyle w:val="null3"/>
      </w:pPr>
      <w:r>
        <w:rPr>
          <w:rFonts w:ascii="仿宋_GB2312" w:hAnsi="仿宋_GB2312" w:cs="仿宋_GB2312" w:eastAsia="仿宋_GB2312"/>
        </w:rPr>
        <w:t>5、社保缴纳证明：供应商提供响应文件递交截止时间前六个月内任意一月已缴存的社会保障资金缴费证明或参保证明，依法不需要缴纳社会保障资金的供应商应提供相关证明文件。</w:t>
      </w:r>
    </w:p>
    <w:p>
      <w:pPr>
        <w:pStyle w:val="null3"/>
      </w:pPr>
      <w:r>
        <w:rPr>
          <w:rFonts w:ascii="仿宋_GB2312" w:hAnsi="仿宋_GB2312" w:cs="仿宋_GB2312" w:eastAsia="仿宋_GB2312"/>
        </w:rPr>
        <w:t>6、拟派项目负责人资质条件：项目负责人具有园林绿化相关专业中级及以上职称，且无在建工程。</w:t>
      </w:r>
    </w:p>
    <w:p>
      <w:pPr>
        <w:pStyle w:val="null3"/>
      </w:pPr>
      <w:r>
        <w:rPr>
          <w:rFonts w:ascii="仿宋_GB2312" w:hAnsi="仿宋_GB2312" w:cs="仿宋_GB2312" w:eastAsia="仿宋_GB2312"/>
        </w:rPr>
        <w:t>7、无重大违法记录：参加政府采购活动前3年内，在经营活动中没有重大违法记录的书面声明。</w:t>
      </w:r>
    </w:p>
    <w:p>
      <w:pPr>
        <w:pStyle w:val="null3"/>
      </w:pPr>
      <w:r>
        <w:rPr>
          <w:rFonts w:ascii="仿宋_GB2312" w:hAnsi="仿宋_GB2312" w:cs="仿宋_GB2312" w:eastAsia="仿宋_GB2312"/>
        </w:rPr>
        <w:t>8、具有履行合同所必需的设备和专业技术能力：供应商应具有履行合同所必需的设备和专业技术能力，提供承诺书。</w:t>
      </w:r>
    </w:p>
    <w:p>
      <w:pPr>
        <w:pStyle w:val="null3"/>
      </w:pPr>
      <w:r>
        <w:rPr>
          <w:rFonts w:ascii="仿宋_GB2312" w:hAnsi="仿宋_GB2312" w:cs="仿宋_GB2312" w:eastAsia="仿宋_GB2312"/>
        </w:rPr>
        <w:t>9、信用查询：供应商不得为“信用中国”网站（www.creditchina.gov.cn）中列入重大税收违法失信主体名单的供应商、不得为“中国执行信息公开网”网站（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10、非联合体投标声明：本项目不接受联合体，提供非联合体投标声明。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乾县乾陵风景林场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乾陵石马道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董亚飞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13310908607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西安市雁塔区西三爻村长丰园小区I区1幢C单元11层1110室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13488494204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采购包1：1,793,886.69元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代理服务费收费标准：参照国家计委关于印发《招标代理服务收费管理暂行办法》的通知（计价格〔2002〕1980号）、国家发改委文件发改价格【2011】534号文规定向中标（成交）供应商收取代理服务费。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乾县乾陵风景林场</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乾县乾陵风景林场</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乾县乾陵风景林场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符合合同及技术要求，资料齐全，成活率达标，服务履约到位。</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联系人：雷虹</w:t>
      </w:r>
    </w:p>
    <w:p>
      <w:pPr>
        <w:pStyle w:val="null3"/>
      </w:pPr>
      <w:r>
        <w:rPr>
          <w:rFonts w:ascii="仿宋_GB2312" w:hAnsi="仿宋_GB2312" w:cs="仿宋_GB2312" w:eastAsia="仿宋_GB2312"/>
        </w:rPr>
        <w:t>联系电话：13488494204</w:t>
      </w:r>
    </w:p>
    <w:p>
      <w:pPr>
        <w:pStyle w:val="null3"/>
      </w:pPr>
      <w:r>
        <w:rPr>
          <w:rFonts w:ascii="仿宋_GB2312" w:hAnsi="仿宋_GB2312" w:cs="仿宋_GB2312" w:eastAsia="仿宋_GB2312"/>
        </w:rPr>
        <w:t>地址：西安市雁塔区西三爻村长丰园小区I区1幢C单元11层1110室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杂木清理、垃圾内倒、土方平整、土方回填、栽植乔木、绿篱等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1,793,886.69</w:t>
      </w:r>
    </w:p>
    <w:p>
      <w:pPr>
        <w:pStyle w:val="null3"/>
      </w:pPr>
      <w:r>
        <w:rPr>
          <w:rFonts w:ascii="仿宋_GB2312" w:hAnsi="仿宋_GB2312" w:cs="仿宋_GB2312" w:eastAsia="仿宋_GB2312"/>
        </w:rPr>
        <w:t>采购包最高限价（元）: 1,793,886.69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春季义务植树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1,793,886.69</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标的名称：春季义务植树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杂木清理、垃圾内倒、土方平整、土方回填、栽植乔木、绿篱等。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项目负责人具有园林绿化相关专业中级及以上职称，且无在建工程</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图纸和工程量清单如有不一致的情况，以工程量清单为准，并结合现场踏勘情况综合考虑。2、为顺利推进政府采购电子化交易平台应用工作，供应商需要在线提交所有通过电子化交易平台实施的政府采购项目的磋商响应文件，同时，线下提交响应文件正本壹份、副本贰份、电子版壹份（U盘1个，包含word、PDF和广联达版本电子投标书格式响应文件所有内容），全部纸质、电子版资料统一密封在一个密封袋中。若电子化交易平台文件与纸质磋商响应文件不一致的，以电子化交易平台文件为准。线下递交文件时间与线上磋商截止时间一致；线下递交文件地点：西安市雁塔区西三爻村长丰园小区I区1幢C单元11层1110室。</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乾县境内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1.成活标准：苗木成活率≥85%，生长健壮，无病虫害、倒伏、枯梢。 2.栽植质量：株行距规范，树穴达标，苗木端正、栽植牢固，无露根窝根。 3.数量密度：栽植株数满足任务要求，密度符合规划，无缺株断行。 4.管护：整洁，无杂草垃圾、人畜损坏，抚育管护措施到位。 5.资料验收：实施方案、栽植记录、影像资料等齐全。 6.验收方式：现场实地核查、抽样检查，合格出具验收报告并移交管护。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项目施工结束，经甲方及监理初步验收通过后，支付项目款70%给乙方;</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项目通过竣工验收，并完成决算审计后，甲方按照审计结果，支付项目款20%给乙方;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待免费管护期满后，双方对质量问题无异议后，支付剩余款项。</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依据《中华人民共和国民法典》、《中华人民共和国政府采购法》的相关条款和本合同约定的相关条款执行；2.成交供应商未按合同要求履行，不符合采购技术要求，成交供应商必须无条件更换人员或设备，提高技术，完善质量，否则，采购人有权终止合同，并对成交供应商的违约行为进行追究并依法向成交供应商进行经济索赔。 争议解决：1.合同一经签订，不得擅自变更、中止或者终止合同。对确需变更、调整或者中止、终止合同的，应按规定履行相应的手续；2.采购人在合同的履行期间以及履行期后，可以随时检查项目的执行情况，对采购标准、采购内容进行调查核实，并对发现的问题进行处理；3.合同争议的解决：合同在履行过程中发生的争议，当事人双方应协商解决，协商达不成一致时，可向当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保修期：2年。自项目交付并经最终验收合格之日起计算。 质量标准：符合国家及行业验收合格标准。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2024年度的财务报告（至少包括财务报告、资产负债表、利润表（或损益表）、现金流量表，成立时间至递交响应文件截止时间不足一年的可提供成立后任意时段的资产负债表），或其开标前三个月内基本存款账户开户银行出具的资信证明及基本存款账户开户信息，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供应商应为具有独立承担民事责任能力的企业法人、事业法人、其他组织或自然人</w:t>
            </w:r>
          </w:p>
        </w:tc>
        <w:tc>
          <w:tcPr>
            <w:tcW w:type="dxa" w:w="3322"/>
          </w:tcPr>
          <w:p>
            <w:pPr>
              <w:pStyle w:val="null3"/>
            </w:pPr>
            <w:r>
              <w:rPr>
                <w:rFonts w:ascii="仿宋_GB2312" w:hAnsi="仿宋_GB2312" w:cs="仿宋_GB2312" w:eastAsia="仿宋_GB2312"/>
              </w:rPr>
              <w:t>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w:t>
            </w:r>
          </w:p>
        </w:tc>
        <w:tc>
          <w:tcPr>
            <w:tcW w:type="dxa" w:w="3322"/>
          </w:tcPr>
          <w:p>
            <w:pPr>
              <w:pStyle w:val="null3"/>
            </w:pPr>
            <w:r>
              <w:rPr>
                <w:rFonts w:ascii="仿宋_GB2312" w:hAnsi="仿宋_GB2312" w:cs="仿宋_GB2312" w:eastAsia="仿宋_GB2312"/>
              </w:rPr>
              <w:t>供应商应授权合法的人员参加投标，法定代表人（或单位负责人）直接参加的，须出具法定代表人（或单位负责人）身份证明及身份证，并与营业执照上信息一致；授权代表参加的，须出具法定代表人（或单位负责人）授权委托书及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w:t>
            </w:r>
          </w:p>
        </w:tc>
        <w:tc>
          <w:tcPr>
            <w:tcW w:type="dxa" w:w="3322"/>
          </w:tcPr>
          <w:p>
            <w:pPr>
              <w:pStyle w:val="null3"/>
            </w:pPr>
            <w:r>
              <w:rPr>
                <w:rFonts w:ascii="仿宋_GB2312" w:hAnsi="仿宋_GB2312" w:cs="仿宋_GB2312" w:eastAsia="仿宋_GB2312"/>
              </w:rPr>
              <w:t>供应商需提2024年度的财务报告（至少包括财务报告、资产负债表、利润表（或损益表）、现金流量表，成立时间至递交响应文件截止时间不足一年的可提供成立后任意时段的资产负债表），或其开标前三个月内基本存款账户开户银行出具的资信证明及基本存款账户开户信息，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供应商提供响应文件递交截止时间前六个月内任意一月已缴纳的纳税证明或完税证明，依法免税的供应商应提供相关证明文件。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供应商提供响应文件递交截止时间前六个月内任意一月已缴存的社会保障资金缴费证明或参保证明，依法不需要缴纳社会保障资金的供应商应提供相关证明文件。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拟派项目负责人资质条件</w:t>
            </w:r>
          </w:p>
        </w:tc>
        <w:tc>
          <w:tcPr>
            <w:tcW w:type="dxa" w:w="3322"/>
          </w:tcPr>
          <w:p>
            <w:pPr>
              <w:pStyle w:val="null3"/>
            </w:pPr>
            <w:r>
              <w:rPr>
                <w:rFonts w:ascii="仿宋_GB2312" w:hAnsi="仿宋_GB2312" w:cs="仿宋_GB2312" w:eastAsia="仿宋_GB2312"/>
              </w:rPr>
              <w:t>项目负责人具有园林绿化相关专业中级及以上职称，且无在建工程。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供应商应具有履行合同所必需的设备和专业技术能力，提供承诺书。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重大税收违法失信主体名单的供应商、不得为“中国执行信息公开网”网站（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本项目不接受联合体，提供非联合体投标声明。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人员配备 主要工具及设备材料 已标价工程量清单 工期保障 中小企业声明函 业绩 工程质量 商务应答表 供应商应提交的相关资格证明材料 响应文件封面 绿化垃圾清理方案 应急方案 残疾人福利性单位声明函 服务方案 标的清单 陕西省政府采购供应商拒绝政府采购领域商业贿赂承诺书 供应商认为有必要补充说明的事宜 响应函 文明施工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响应文件格式中要求法定代表人或被授权人的签字处，签字齐全，响应文件加盖电子印章</w:t>
            </w:r>
          </w:p>
        </w:tc>
        <w:tc>
          <w:tcPr>
            <w:tcW w:type="dxa" w:w="1661"/>
          </w:tcPr>
          <w:p>
            <w:pPr>
              <w:pStyle w:val="null3"/>
            </w:pPr>
            <w:r>
              <w:rPr>
                <w:rFonts w:ascii="仿宋_GB2312" w:hAnsi="仿宋_GB2312" w:cs="仿宋_GB2312" w:eastAsia="仿宋_GB2312"/>
              </w:rPr>
              <w:t>人员配备 主要工具及设备材料 已标价工程量清单 工期保障 业绩 中小企业声明函 工程质量 商务应答表 供应商应提交的相关资格证明材料 响应文件封面 绿化垃圾清理方案 应急方案 残疾人福利性单位声明函 服务方案 标的清单 陕西省政府采购供应商拒绝政府采购领域商业贿赂承诺书 供应商认为有必要补充说明的事宜 响应函 文明施工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符合国家及行业验收合格标准</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合同工期</w:t>
            </w:r>
          </w:p>
        </w:tc>
        <w:tc>
          <w:tcPr>
            <w:tcW w:type="dxa" w:w="3322"/>
          </w:tcPr>
          <w:p>
            <w:pPr>
              <w:pStyle w:val="null3"/>
            </w:pPr>
            <w:r>
              <w:rPr>
                <w:rFonts w:ascii="仿宋_GB2312" w:hAnsi="仿宋_GB2312" w:cs="仿宋_GB2312" w:eastAsia="仿宋_GB2312"/>
              </w:rPr>
              <w:t>自合同签订之日起30日历天</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从提交响应文件截止之日起，不少于90天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首次响应报价</w:t>
            </w:r>
          </w:p>
        </w:tc>
        <w:tc>
          <w:tcPr>
            <w:tcW w:type="dxa" w:w="3322"/>
          </w:tcPr>
          <w:p>
            <w:pPr>
              <w:pStyle w:val="null3"/>
            </w:pPr>
            <w:r>
              <w:rPr>
                <w:rFonts w:ascii="仿宋_GB2312" w:hAnsi="仿宋_GB2312" w:cs="仿宋_GB2312" w:eastAsia="仿宋_GB2312"/>
              </w:rPr>
              <w:t>报价不超过最高限价</w:t>
            </w:r>
          </w:p>
        </w:tc>
        <w:tc>
          <w:tcPr>
            <w:tcW w:type="dxa" w:w="1661"/>
          </w:tcPr>
          <w:p>
            <w:pPr>
              <w:pStyle w:val="null3"/>
            </w:pPr>
            <w:r>
              <w:rPr>
                <w:rFonts w:ascii="仿宋_GB2312" w:hAnsi="仿宋_GB2312" w:cs="仿宋_GB2312" w:eastAsia="仿宋_GB2312"/>
              </w:rPr>
              <w:t>已标价工程量清单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评审内容：供应商针对本项目提交的服务方案，需包含苗木运输、绿化服务总体设想、服务计划、服务定位、服务目标、重难点分析等内容。 评审分值标准： 1.方案全面完整、合理可行、清晰明确、针对性强，完全满足项目需求：15 分 2.方案较完整、可行、针对性较强，基本满足项目需求：12 分 3.方案基本完整、可行、有一定针对性，部分满足项目需求：9 分 4.方案简单、具有可行性但无针对性，仅满足最低要求：6 分 5.方案内容有缺漏项，可行性、针对性不足：3 分 6.未提供服务方案：0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供应商认为有必要补充说明的事宜</w:t>
            </w:r>
          </w:p>
        </w:tc>
      </w:tr>
      <w:tr>
        <w:tc>
          <w:tcPr>
            <w:tcW w:type="dxa" w:w="831"/>
            <w:vMerge/>
          </w:tcPr>
          <w:p/>
        </w:tc>
        <w:tc>
          <w:tcPr>
            <w:tcW w:type="dxa" w:w="1661"/>
          </w:tcPr>
          <w:p>
            <w:pPr>
              <w:pStyle w:val="null3"/>
            </w:pPr>
            <w:r>
              <w:rPr>
                <w:rFonts w:ascii="仿宋_GB2312" w:hAnsi="仿宋_GB2312" w:cs="仿宋_GB2312" w:eastAsia="仿宋_GB2312"/>
              </w:rPr>
              <w:t>绿化垃圾清理方案</w:t>
            </w:r>
          </w:p>
        </w:tc>
        <w:tc>
          <w:tcPr>
            <w:tcW w:type="dxa" w:w="2492"/>
          </w:tcPr>
          <w:p>
            <w:pPr>
              <w:pStyle w:val="null3"/>
            </w:pPr>
            <w:r>
              <w:rPr>
                <w:rFonts w:ascii="仿宋_GB2312" w:hAnsi="仿宋_GB2312" w:cs="仿宋_GB2312" w:eastAsia="仿宋_GB2312"/>
              </w:rPr>
              <w:t>评审内容：供应商针对本项目制定的绿化垃圾清理方案，需包含日常绿化区垃圾巡查及清理、修剪废弃物清理、季节性垃圾清理等内容。 评审分值标准： 1.方案全面、可实施性、针对性强，完全满足项目需求：10 分 2.方案基本完整、可实施性、针对性一般，基本满足项目需求：7 分 3.方案简单、可实施性、针对性不足，仅满足最低要求：4 分 4.未提供绿化垃圾清理方案：0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绿化垃圾清理方案</w:t>
            </w:r>
          </w:p>
          <w:p>
            <w:pPr>
              <w:pStyle w:val="null3"/>
            </w:pPr>
            <w:r>
              <w:rPr>
                <w:rFonts w:ascii="仿宋_GB2312" w:hAnsi="仿宋_GB2312" w:cs="仿宋_GB2312" w:eastAsia="仿宋_GB2312"/>
              </w:rPr>
              <w:t>供应商认为有必要补充说明的事宜</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评审内容：供应商针对本项目制定的应急措施及方案，需包含重大节假日及活动展览等绿植保障、极端天气、异常植物、重点植物关注等内容。 评审分值标准： 1.方案完整、可实施性、针对性强，完全满足项目需求：10 分 2.方案基本完整、可实施性、针对性一般，基本满足项目需求：7 分 3.方案简单、可实施性、针对性不足，仅满足最低要求：4 分 4.未提供应急方案：0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w:t>
            </w:r>
          </w:p>
          <w:p>
            <w:pPr>
              <w:pStyle w:val="null3"/>
            </w:pPr>
            <w:r>
              <w:rPr>
                <w:rFonts w:ascii="仿宋_GB2312" w:hAnsi="仿宋_GB2312" w:cs="仿宋_GB2312" w:eastAsia="仿宋_GB2312"/>
              </w:rPr>
              <w:t>供应商认为有必要补充说明的事宜</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评审内容：供应商拟投入本项目的团队人员配备情况，需提供人员配备清单（含姓名、年龄、岗位、社保缴纳证明、工作经验等）。 评审分值标准： 1.团队人员满足项目实际需求，岗位职责分工明确、人员结构安排合理、工作经验丰富：10 分 2.团队人员岗位职责分工较明确、结构安排基本合理：7 分 3.团队人员岗位职责分工及结构安排基本明确：4 分 4.团队人员岗位职责分工及结构安排混乱：2 分 5.未提供人员配备清单：0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w:t>
            </w:r>
          </w:p>
          <w:p>
            <w:pPr>
              <w:pStyle w:val="null3"/>
            </w:pPr>
            <w:r>
              <w:rPr>
                <w:rFonts w:ascii="仿宋_GB2312" w:hAnsi="仿宋_GB2312" w:cs="仿宋_GB2312" w:eastAsia="仿宋_GB2312"/>
              </w:rPr>
              <w:t>供应商认为有必要补充说明的事宜</w:t>
            </w:r>
          </w:p>
        </w:tc>
      </w:tr>
      <w:tr>
        <w:tc>
          <w:tcPr>
            <w:tcW w:type="dxa" w:w="831"/>
            <w:vMerge/>
          </w:tcPr>
          <w:p/>
        </w:tc>
        <w:tc>
          <w:tcPr>
            <w:tcW w:type="dxa" w:w="1661"/>
          </w:tcPr>
          <w:p>
            <w:pPr>
              <w:pStyle w:val="null3"/>
            </w:pPr>
            <w:r>
              <w:rPr>
                <w:rFonts w:ascii="仿宋_GB2312" w:hAnsi="仿宋_GB2312" w:cs="仿宋_GB2312" w:eastAsia="仿宋_GB2312"/>
              </w:rPr>
              <w:t>工程质量</w:t>
            </w:r>
          </w:p>
        </w:tc>
        <w:tc>
          <w:tcPr>
            <w:tcW w:type="dxa" w:w="2492"/>
          </w:tcPr>
          <w:p>
            <w:pPr>
              <w:pStyle w:val="null3"/>
            </w:pPr>
            <w:r>
              <w:rPr>
                <w:rFonts w:ascii="仿宋_GB2312" w:hAnsi="仿宋_GB2312" w:cs="仿宋_GB2312" w:eastAsia="仿宋_GB2312"/>
              </w:rPr>
              <w:t>评审内容：供应商针对本项目提交的确保工程质量的技术组织措施。 评审分值标准： 1.措施计划详细齐全、合理切实可行，完全满足采购人需求，具有优化建议：10 分 2.措施计划齐全、合理、切实可行，满足采购人需求：7 分 3.措施计划非专门针对本项目，存在逻辑漏洞或前后内容不一致：4 分 4.未提供工程质量保障措施：0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工程质量</w:t>
            </w:r>
          </w:p>
          <w:p>
            <w:pPr>
              <w:pStyle w:val="null3"/>
            </w:pPr>
            <w:r>
              <w:rPr>
                <w:rFonts w:ascii="仿宋_GB2312" w:hAnsi="仿宋_GB2312" w:cs="仿宋_GB2312" w:eastAsia="仿宋_GB2312"/>
              </w:rPr>
              <w:t>供应商认为有必要补充说明的事宜</w:t>
            </w:r>
          </w:p>
        </w:tc>
      </w:tr>
      <w:tr>
        <w:tc>
          <w:tcPr>
            <w:tcW w:type="dxa" w:w="831"/>
            <w:vMerge/>
          </w:tcPr>
          <w:p/>
        </w:tc>
        <w:tc>
          <w:tcPr>
            <w:tcW w:type="dxa" w:w="1661"/>
          </w:tcPr>
          <w:p>
            <w:pPr>
              <w:pStyle w:val="null3"/>
            </w:pPr>
            <w:r>
              <w:rPr>
                <w:rFonts w:ascii="仿宋_GB2312" w:hAnsi="仿宋_GB2312" w:cs="仿宋_GB2312" w:eastAsia="仿宋_GB2312"/>
              </w:rPr>
              <w:t>文明施工</w:t>
            </w:r>
          </w:p>
        </w:tc>
        <w:tc>
          <w:tcPr>
            <w:tcW w:type="dxa" w:w="2492"/>
          </w:tcPr>
          <w:p>
            <w:pPr>
              <w:pStyle w:val="null3"/>
            </w:pPr>
            <w:r>
              <w:rPr>
                <w:rFonts w:ascii="仿宋_GB2312" w:hAnsi="仿宋_GB2312" w:cs="仿宋_GB2312" w:eastAsia="仿宋_GB2312"/>
              </w:rPr>
              <w:t>评审内容：供应商针对本项目提交的确保文明施工的技术组织措施。 评审分值标准： 1.措施计划详细齐全、合理切实可行，完全满足采购人需求，具有优化建议：10 分 2.措施计划齐全、合理、切实可行，满足采购人需求：7 分 3.措施计划非专门针对本项目，存在逻辑漏洞或前后内容不一致：4 分 4.未提供文明施工保障措施：0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w:t>
            </w:r>
          </w:p>
          <w:p>
            <w:pPr>
              <w:pStyle w:val="null3"/>
            </w:pPr>
            <w:r>
              <w:rPr>
                <w:rFonts w:ascii="仿宋_GB2312" w:hAnsi="仿宋_GB2312" w:cs="仿宋_GB2312" w:eastAsia="仿宋_GB2312"/>
              </w:rPr>
              <w:t>供应商认为有必要补充说明的事宜</w:t>
            </w:r>
          </w:p>
        </w:tc>
      </w:tr>
      <w:tr>
        <w:tc>
          <w:tcPr>
            <w:tcW w:type="dxa" w:w="831"/>
            <w:vMerge/>
          </w:tcPr>
          <w:p/>
        </w:tc>
        <w:tc>
          <w:tcPr>
            <w:tcW w:type="dxa" w:w="1661"/>
          </w:tcPr>
          <w:p>
            <w:pPr>
              <w:pStyle w:val="null3"/>
            </w:pPr>
            <w:r>
              <w:rPr>
                <w:rFonts w:ascii="仿宋_GB2312" w:hAnsi="仿宋_GB2312" w:cs="仿宋_GB2312" w:eastAsia="仿宋_GB2312"/>
              </w:rPr>
              <w:t>工期保障</w:t>
            </w:r>
          </w:p>
        </w:tc>
        <w:tc>
          <w:tcPr>
            <w:tcW w:type="dxa" w:w="2492"/>
          </w:tcPr>
          <w:p>
            <w:pPr>
              <w:pStyle w:val="null3"/>
            </w:pPr>
            <w:r>
              <w:rPr>
                <w:rFonts w:ascii="仿宋_GB2312" w:hAnsi="仿宋_GB2312" w:cs="仿宋_GB2312" w:eastAsia="仿宋_GB2312"/>
              </w:rPr>
              <w:t>评审内容：供应商针对本项目提交的确保工期的技术组织措施。 评审分值标准： 1.措施计划详细齐全、合理切实可行，完全满足采购人需求，具有优化建议：5 分 2.措施计划齐全、合理、切实可行，满足采购人需求：4 分 3.措施计划非专门针对本项目，存在逻辑漏洞或前后内容不一致：1 分 4.未提供工期保障措施：0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供应商认为有必要补充说明的事宜</w:t>
            </w:r>
          </w:p>
          <w:p>
            <w:pPr>
              <w:pStyle w:val="null3"/>
            </w:pPr>
            <w:r>
              <w:rPr>
                <w:rFonts w:ascii="仿宋_GB2312" w:hAnsi="仿宋_GB2312" w:cs="仿宋_GB2312" w:eastAsia="仿宋_GB2312"/>
              </w:rPr>
              <w:t>工期保障</w:t>
            </w:r>
          </w:p>
        </w:tc>
      </w:tr>
      <w:tr>
        <w:tc>
          <w:tcPr>
            <w:tcW w:type="dxa" w:w="831"/>
            <w:vMerge/>
          </w:tcPr>
          <w:p/>
        </w:tc>
        <w:tc>
          <w:tcPr>
            <w:tcW w:type="dxa" w:w="1661"/>
          </w:tcPr>
          <w:p>
            <w:pPr>
              <w:pStyle w:val="null3"/>
            </w:pPr>
            <w:r>
              <w:rPr>
                <w:rFonts w:ascii="仿宋_GB2312" w:hAnsi="仿宋_GB2312" w:cs="仿宋_GB2312" w:eastAsia="仿宋_GB2312"/>
              </w:rPr>
              <w:t>主要工具及设备材料</w:t>
            </w:r>
          </w:p>
        </w:tc>
        <w:tc>
          <w:tcPr>
            <w:tcW w:type="dxa" w:w="2492"/>
          </w:tcPr>
          <w:p>
            <w:pPr>
              <w:pStyle w:val="null3"/>
            </w:pPr>
            <w:r>
              <w:rPr>
                <w:rFonts w:ascii="仿宋_GB2312" w:hAnsi="仿宋_GB2312" w:cs="仿宋_GB2312" w:eastAsia="仿宋_GB2312"/>
              </w:rPr>
              <w:t>评审内容：供应商拟投入本项目的主要工具、设备及材料配置情况，需提供相关证明材料。 评审分值标准： 1.拟投入主要工具及设备材料配置齐全，符合项目实际需求，相关证明材料齐全：5 分 2.主要工具及设备材料配置基本齐全，基本符合项目实际需求，相关证明材料基本齐全：4 分 3.主要工具及设备材料配置齐全程度一般，部分符合项目需求，相关证明材料不足：2 分 4.主要工具及设备材料配置不齐全，不符合项目实际需求，无相关证明材料：1 分 5.未提供工具及设备材料配置方案：0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主要工具及设备材料</w:t>
            </w:r>
          </w:p>
          <w:p>
            <w:pPr>
              <w:pStyle w:val="null3"/>
            </w:pPr>
            <w:r>
              <w:rPr>
                <w:rFonts w:ascii="仿宋_GB2312" w:hAnsi="仿宋_GB2312" w:cs="仿宋_GB2312" w:eastAsia="仿宋_GB2312"/>
              </w:rPr>
              <w:t>供应商认为有必要补充说明的事宜</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 2023年4月至今的类似项目业绩，需提供合同协议书或中标通知书复印件并加盖公章。 评审分值标准：每提供1个类似项目业绩得1分，满分5分。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供应商认为有必要补充说明的事宜</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采购文件要求且磋商价格最低报价函的磋商报价为评审基准价，其价格分为满分。其他供应商的价格分统一按照下列公式计算：磋商报价得分=（评审基准价/磋商报价）×价格权值×100。 评标委员会1/2以上成员认为某报价有低于成本价嫌疑的，为无效报价按废标处理。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详见附件：绿化垃圾清理方案</w:t>
      </w:r>
    </w:p>
    <w:p>
      <w:pPr>
        <w:pStyle w:val="null3"/>
        <w:ind w:firstLine="960"/>
      </w:pPr>
      <w:r>
        <w:rPr>
          <w:rFonts w:ascii="仿宋_GB2312" w:hAnsi="仿宋_GB2312" w:cs="仿宋_GB2312" w:eastAsia="仿宋_GB2312"/>
        </w:rPr>
        <w:t>详见附件：应急方案</w:t>
      </w:r>
    </w:p>
    <w:p>
      <w:pPr>
        <w:pStyle w:val="null3"/>
        <w:ind w:firstLine="960"/>
      </w:pPr>
      <w:r>
        <w:rPr>
          <w:rFonts w:ascii="仿宋_GB2312" w:hAnsi="仿宋_GB2312" w:cs="仿宋_GB2312" w:eastAsia="仿宋_GB2312"/>
        </w:rPr>
        <w:t>详见附件：人员配备</w:t>
      </w:r>
    </w:p>
    <w:p>
      <w:pPr>
        <w:pStyle w:val="null3"/>
        <w:ind w:firstLine="960"/>
      </w:pPr>
      <w:r>
        <w:rPr>
          <w:rFonts w:ascii="仿宋_GB2312" w:hAnsi="仿宋_GB2312" w:cs="仿宋_GB2312" w:eastAsia="仿宋_GB2312"/>
        </w:rPr>
        <w:t>详见附件：工程质量</w:t>
      </w:r>
    </w:p>
    <w:p>
      <w:pPr>
        <w:pStyle w:val="null3"/>
        <w:ind w:firstLine="960"/>
      </w:pPr>
      <w:r>
        <w:rPr>
          <w:rFonts w:ascii="仿宋_GB2312" w:hAnsi="仿宋_GB2312" w:cs="仿宋_GB2312" w:eastAsia="仿宋_GB2312"/>
        </w:rPr>
        <w:t>详见附件：文明施工</w:t>
      </w:r>
    </w:p>
    <w:p>
      <w:pPr>
        <w:pStyle w:val="null3"/>
        <w:ind w:firstLine="960"/>
      </w:pPr>
      <w:r>
        <w:rPr>
          <w:rFonts w:ascii="仿宋_GB2312" w:hAnsi="仿宋_GB2312" w:cs="仿宋_GB2312" w:eastAsia="仿宋_GB2312"/>
        </w:rPr>
        <w:t>详见附件：工期保障</w:t>
      </w:r>
    </w:p>
    <w:p>
      <w:pPr>
        <w:pStyle w:val="null3"/>
        <w:ind w:firstLine="960"/>
      </w:pPr>
      <w:r>
        <w:rPr>
          <w:rFonts w:ascii="仿宋_GB2312" w:hAnsi="仿宋_GB2312" w:cs="仿宋_GB2312" w:eastAsia="仿宋_GB2312"/>
        </w:rPr>
        <w:t>详见附件：主要工具及设备材料</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详见附件：供应商认为有必要补充说明的事宜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