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版本号：DHJC2026-ZC-CS00520260414001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乾县全民所有自然资源资产清查项目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DHJC2026-ZC-CS005</w:t>
      </w:r>
      <w:r>
        <w:br/>
      </w:r>
      <w:r>
        <w:br/>
      </w:r>
      <w:r>
        <w:br/>
      </w:r>
    </w:p>
    <w:p>
      <w:pPr>
        <w:pStyle w:val="null3"/>
        <w:jc w:val="center"/>
        <w:outlineLvl w:val="2"/>
      </w:pPr>
      <w:r>
        <w:rPr>
          <w:rFonts w:ascii="仿宋_GB2312" w:hAnsi="仿宋_GB2312" w:cs="仿宋_GB2312" w:eastAsia="仿宋_GB2312"/>
          <w:sz w:val="28"/>
          <w:b/>
        </w:rPr>
        <w:t>乾县自然资源局</w:t>
      </w:r>
    </w:p>
    <w:p>
      <w:pPr>
        <w:pStyle w:val="null3"/>
        <w:jc w:val="center"/>
        <w:outlineLvl w:val="2"/>
      </w:pPr>
      <w:r>
        <w:rPr>
          <w:rFonts w:ascii="仿宋_GB2312" w:hAnsi="仿宋_GB2312" w:cs="仿宋_GB2312" w:eastAsia="仿宋_GB2312"/>
          <w:sz w:val="28"/>
          <w:b/>
        </w:rPr>
        <w:t>陕西鼎汇嘉诚项目管理有限公司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陕西鼎汇嘉诚项目管理有限公司</w:t>
      </w:r>
      <w:r>
        <w:rPr>
          <w:rFonts w:ascii="仿宋_GB2312" w:hAnsi="仿宋_GB2312" w:cs="仿宋_GB2312" w:eastAsia="仿宋_GB2312"/>
        </w:rPr>
        <w:t>（以下简称“代理机构”）受</w:t>
      </w:r>
      <w:r>
        <w:rPr>
          <w:rFonts w:ascii="仿宋_GB2312" w:hAnsi="仿宋_GB2312" w:cs="仿宋_GB2312" w:eastAsia="仿宋_GB2312"/>
        </w:rPr>
        <w:t>乾县自然资源局</w:t>
      </w:r>
      <w:r>
        <w:rPr>
          <w:rFonts w:ascii="仿宋_GB2312" w:hAnsi="仿宋_GB2312" w:cs="仿宋_GB2312" w:eastAsia="仿宋_GB2312"/>
        </w:rPr>
        <w:t>委托，拟对</w:t>
      </w:r>
      <w:r>
        <w:rPr>
          <w:rFonts w:ascii="仿宋_GB2312" w:hAnsi="仿宋_GB2312" w:cs="仿宋_GB2312" w:eastAsia="仿宋_GB2312"/>
        </w:rPr>
        <w:t>乾县全民所有自然资源资产清查项目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DHJC2026-ZC-CS005</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乾县全民所有自然资源资产清查项目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通过系统性清查，实现对乾县全民所有土地、矿产、森林、草原、湿地等5类自然资源资产的全面盘清与科学管理。具体功能包括整合现有调查、登记、专项成果，建立统一的自然资源资产数据库；完成实物量调查核实与价值量核算，形成资产数量与价值双维度成果；梳理并关联资产产权与使用权属信息，构建产权明晰的资产图层；最终形成集“实物-价值-产权”于一体的自然资源资产“一张图”，支持资产统计、分析、查询、展示与动态更新，为资产管理、决策支持与监管服务提供完整、准确、可视化的数据基础。</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采购包1（乾县全民所有自然资源资产清查项目）：属于专门面向中小企业采购。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或授权代表身份证明：法定代表人直接参加磋商的，须出具法定代表人身份证明。法定代表人委托代理人参加磋商的，须出具法定代表人授权书（附法定代表人、代理人身份证复印件）及代理人本单位证明（响应文件提交截止日前六个月内任意一个月养老保险缴纳证明）；</w:t>
      </w:r>
    </w:p>
    <w:p>
      <w:pPr>
        <w:pStyle w:val="null3"/>
      </w:pPr>
      <w:r>
        <w:rPr>
          <w:rFonts w:ascii="仿宋_GB2312" w:hAnsi="仿宋_GB2312" w:cs="仿宋_GB2312" w:eastAsia="仿宋_GB2312"/>
        </w:rPr>
        <w:t>2、资质要求：供应商须具备行政主管部门颁发的测绘乙级及以上资质；</w:t>
      </w:r>
    </w:p>
    <w:p>
      <w:pPr>
        <w:pStyle w:val="null3"/>
      </w:pPr>
      <w:r>
        <w:rPr>
          <w:rFonts w:ascii="仿宋_GB2312" w:hAnsi="仿宋_GB2312" w:cs="仿宋_GB2312" w:eastAsia="仿宋_GB2312"/>
        </w:rPr>
        <w:t>3、信用记录：供应商未被“信用中国”网站（www.creditchina.gov.cn）列入失信被执行人和重大税收违法失信主体，未被中国政府采购网（www.ccgp.gov.cn）列入政府采购严重违法失信行为记录名单。（响应文件解密完成后查询相关信用记录，对列入失信被执行人、重大税收违法失信主体、政府采购严重违法失信行为记录名单及其他不符合《中华人民共和国政府采购法》第二十二条规定的供应商，将拒绝其参与政府采购活动，查询结果以电子或纸质方式留存）</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乾县自然资源局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乾县东环北路8号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713300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15191042222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陕西鼎汇嘉诚项目管理有限公司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陕西省西安市高新区高新三路西高智能大厦10楼1011室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罗晖</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029-88211165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乾县政府采购管理股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吴翌真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13772572080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采购包1：808,000.00元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国家发展和改革委员会办公厅颁发的《关于招标代理服务收费有关问题的通知》（发改办价格[2003]857号）的有关规定计取。成交供应商在领取成交通知书前，须向采购代理机构一次性支付招标代理服务费。代理服务费缴纳账户信息： 银行户名：陕西鼎汇嘉诚项目管理有限公司 开户银行：中国工商银行股份有限公司西安铁炉庙支行 账号：3700118509200064590</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乾县自然资源局</w:t>
      </w:r>
      <w:r>
        <w:rPr>
          <w:rFonts w:ascii="仿宋_GB2312" w:hAnsi="仿宋_GB2312" w:cs="仿宋_GB2312" w:eastAsia="仿宋_GB2312"/>
        </w:rPr>
        <w:t>和</w:t>
      </w:r>
      <w:r>
        <w:rPr>
          <w:rFonts w:ascii="仿宋_GB2312" w:hAnsi="仿宋_GB2312" w:cs="仿宋_GB2312" w:eastAsia="仿宋_GB2312"/>
        </w:rPr>
        <w:t>陕西鼎汇嘉诚项目管理有限公司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乾县自然资源局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陕西鼎汇嘉诚项目管理有限公司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乾县自然资源局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陕西鼎汇嘉诚项目管理有限公司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符合全民所有自然资源资产清查工作相关技术要求并通过省市自然资源主管部门组织的评审专家组验收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陕西鼎汇嘉诚项目管理有限公司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陕西鼎汇嘉诚项目管理有限公司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陕西鼎汇嘉诚项目管理有限公司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联系人：罗晖</w:t>
      </w:r>
    </w:p>
    <w:p>
      <w:pPr>
        <w:pStyle w:val="null3"/>
      </w:pPr>
      <w:r>
        <w:rPr>
          <w:rFonts w:ascii="仿宋_GB2312" w:hAnsi="仿宋_GB2312" w:cs="仿宋_GB2312" w:eastAsia="仿宋_GB2312"/>
        </w:rPr>
        <w:t>联系电话：029-88211165</w:t>
      </w:r>
    </w:p>
    <w:p>
      <w:pPr>
        <w:pStyle w:val="null3"/>
      </w:pPr>
      <w:r>
        <w:rPr>
          <w:rFonts w:ascii="仿宋_GB2312" w:hAnsi="仿宋_GB2312" w:cs="仿宋_GB2312" w:eastAsia="仿宋_GB2312"/>
        </w:rPr>
        <w:t>地址：西安市高新区高新三路西高智能大厦10楼1011室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sz w:val="21"/>
        </w:rPr>
        <w:t>通过系统性清查，实现对乾县全民所有土地、矿产、森林、草原、湿地等</w:t>
      </w:r>
      <w:r>
        <w:rPr>
          <w:rFonts w:ascii="仿宋_GB2312" w:hAnsi="仿宋_GB2312" w:cs="仿宋_GB2312" w:eastAsia="仿宋_GB2312"/>
          <w:sz w:val="21"/>
        </w:rPr>
        <w:t>5类自然资源资产的全面盘清与科学管理。具体功能包括整合现有调查、登记、专项成果，建立统一的自然资源资产数据库；完成实物量调查核实与价值量核算，形成资产数量与价值双维度成果；梳理并关联资产产权与使用权属信息，构建产权明晰的资产图层；最终形成集“实物-价值-产权”于一体的自然资源资产“一张图”，支持资产统计、分析、查询、展示与动态更新，为资产管理、决策支持与监管服务提供完整、准确、可视化的数据基础。</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808,000.00</w:t>
      </w:r>
    </w:p>
    <w:p>
      <w:pPr>
        <w:pStyle w:val="null3"/>
      </w:pPr>
      <w:r>
        <w:rPr>
          <w:rFonts w:ascii="仿宋_GB2312" w:hAnsi="仿宋_GB2312" w:cs="仿宋_GB2312" w:eastAsia="仿宋_GB2312"/>
        </w:rPr>
        <w:t>采购包最高限价（元）: 808,000.00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乾县全民所有自然资源资产清查项目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808,000.00</w:t>
            </w:r>
          </w:p>
        </w:tc>
        <w:tc>
          <w:tcPr>
            <w:tcW w:type="dxa" w:w="831"/>
          </w:tcPr>
          <w:p>
            <w:pPr>
              <w:pStyle w:val="null3"/>
            </w:pPr>
            <w:r>
              <w:rPr>
                <w:rFonts w:ascii="仿宋_GB2312" w:hAnsi="仿宋_GB2312" w:cs="仿宋_GB2312" w:eastAsia="仿宋_GB2312"/>
              </w:rPr>
              <w:t>pi</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标的名称：乾县全民所有自然资源资产清查项目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一、服务要求：</w:t>
            </w:r>
            <w:r>
              <w:rPr>
                <w:rFonts w:ascii="仿宋_GB2312" w:hAnsi="仿宋_GB2312" w:cs="仿宋_GB2312" w:eastAsia="仿宋_GB2312"/>
              </w:rPr>
              <w:t>1、采购标的实现的功能：通过系统性清查，实现对乾县全民所有土地、矿产、森林、草原、湿地等5类自然资源资产的全面盘清与科学管理。具体功能包括整合现有调查、登记、专项成果，建立统一的自然资源资产数据库；完成实物量调查核实与价值量核算，形成资产数量与价值双维度成果；梳理并关联资产产权与使用权属信息，构建产权明晰的资产图层；最终形成集“实物-价值-产权”于一体的自然资源资产“一张图”，支持资产统计、分析、查询、展示与动态更新，为资产管理、决策支持与监管服务提供完整、准确、可视化的数据基础。</w:t>
            </w:r>
          </w:p>
          <w:p>
            <w:pPr>
              <w:pStyle w:val="null3"/>
            </w:pPr>
            <w:r>
              <w:rPr>
                <w:rFonts w:ascii="仿宋_GB2312" w:hAnsi="仿宋_GB2312" w:cs="仿宋_GB2312" w:eastAsia="仿宋_GB2312"/>
              </w:rPr>
              <w:t>2、采购标的的应用场景：支撑乾县自然资源部门履行全民所有自然资源资产所有者职责，服务于资产产权管理、资源有偿使用、生态保护补偿、国土空间规划编制与实施监督等工作。在自然资源资产所有权委托代理、资产配置、收益管理、资产负债表编制、生态环境损害赔偿、生态产品价值实现等领域提供数据依据。</w:t>
            </w:r>
          </w:p>
          <w:p>
            <w:pPr>
              <w:pStyle w:val="null3"/>
            </w:pPr>
            <w:r>
              <w:rPr>
                <w:rFonts w:ascii="仿宋_GB2312" w:hAnsi="仿宋_GB2312" w:cs="仿宋_GB2312" w:eastAsia="仿宋_GB2312"/>
              </w:rPr>
              <w:t>3、采购标的需实现的采购目标：完成乾县全民所有自然资源资产的全面、精准清查，形成符合省级、市级技术规范与数据标准的成果。具体包括：实物量数据图层、价值量核算结果、产权状况图层及关联空间信息，并整合形成县级自然资源资产“一张图”数据库；提交资产清查报告、统计表格及符合汇交要求的电子数据等全套成果；确保成果真实、准确、完整、规范，能够通过上级验收，并具备较好的可扩展性与可维护性，满足后续资产动态更新、管理与共享应用的需要。</w:t>
            </w:r>
          </w:p>
          <w:p>
            <w:pPr>
              <w:pStyle w:val="null3"/>
            </w:pPr>
            <w:r>
              <w:rPr>
                <w:rFonts w:ascii="仿宋_GB2312" w:hAnsi="仿宋_GB2312" w:cs="仿宋_GB2312" w:eastAsia="仿宋_GB2312"/>
              </w:rPr>
              <w:t>4、根据《陕西省全民所有自然资源资产清查工作实施方案》（陕自然资发〔2024〕1247号）、《咸阳市全民所有自然资源资产清查工作实施方案》（咸自资发〔2024〕286号）要求进行。</w:t>
            </w:r>
          </w:p>
          <w:p>
            <w:pPr>
              <w:pStyle w:val="null3"/>
            </w:pPr>
            <w:r>
              <w:rPr>
                <w:rFonts w:ascii="仿宋_GB2312" w:hAnsi="仿宋_GB2312" w:cs="仿宋_GB2312" w:eastAsia="仿宋_GB2312"/>
              </w:rPr>
              <w:t>二、服务标准：符合国家和行业制定的相应标准和规范</w:t>
            </w:r>
          </w:p>
          <w:p>
            <w:pPr>
              <w:pStyle w:val="null3"/>
            </w:pPr>
            <w:r>
              <w:rPr>
                <w:rFonts w:ascii="仿宋_GB2312" w:hAnsi="仿宋_GB2312" w:cs="仿宋_GB2312" w:eastAsia="仿宋_GB2312"/>
              </w:rPr>
              <w:t>三、服务期限：</w:t>
            </w:r>
            <w:r>
              <w:rPr>
                <w:rFonts w:ascii="仿宋_GB2312" w:hAnsi="仿宋_GB2312" w:cs="仿宋_GB2312" w:eastAsia="仿宋_GB2312"/>
              </w:rPr>
              <w:t>7个月，最终整体进度与具体时间节点以部、省通知为准。</w:t>
            </w:r>
          </w:p>
          <w:p>
            <w:pPr>
              <w:pStyle w:val="null3"/>
            </w:pPr>
            <w:r>
              <w:rPr>
                <w:rFonts w:ascii="仿宋_GB2312" w:hAnsi="仿宋_GB2312" w:cs="仿宋_GB2312" w:eastAsia="仿宋_GB2312"/>
                <w:sz w:val="21"/>
              </w:rPr>
              <w:t>四、付款方式：</w:t>
            </w:r>
            <w:r>
              <w:rPr>
                <w:rFonts w:ascii="仿宋_GB2312" w:hAnsi="仿宋_GB2312" w:cs="仿宋_GB2312" w:eastAsia="仿宋_GB2312"/>
                <w:sz w:val="21"/>
              </w:rPr>
              <w:t>完成乾县全民所有自然资源资产清查成果经市级预检后上报省级</w:t>
            </w:r>
            <w:r>
              <w:rPr>
                <w:rFonts w:ascii="仿宋_GB2312" w:hAnsi="仿宋_GB2312" w:cs="仿宋_GB2312" w:eastAsia="仿宋_GB2312"/>
                <w:sz w:val="21"/>
              </w:rPr>
              <w:t>，达到付款条件起</w:t>
            </w:r>
            <w:r>
              <w:rPr>
                <w:rFonts w:ascii="仿宋_GB2312" w:hAnsi="仿宋_GB2312" w:cs="仿宋_GB2312" w:eastAsia="仿宋_GB2312"/>
                <w:sz w:val="21"/>
              </w:rPr>
              <w:t xml:space="preserve"> 30 日内，支付合同总金额的</w:t>
            </w:r>
            <w:r>
              <w:rPr>
                <w:rFonts w:ascii="仿宋_GB2312" w:hAnsi="仿宋_GB2312" w:cs="仿宋_GB2312" w:eastAsia="仿宋_GB2312"/>
                <w:sz w:val="21"/>
              </w:rPr>
              <w:t>70.00</w:t>
            </w:r>
            <w:r>
              <w:rPr>
                <w:rFonts w:ascii="仿宋_GB2312" w:hAnsi="仿宋_GB2312" w:cs="仿宋_GB2312" w:eastAsia="仿宋_GB2312"/>
                <w:sz w:val="21"/>
              </w:rPr>
              <w:t>%</w:t>
            </w:r>
            <w:r>
              <w:rPr>
                <w:rFonts w:ascii="仿宋_GB2312" w:hAnsi="仿宋_GB2312" w:cs="仿宋_GB2312" w:eastAsia="仿宋_GB2312"/>
                <w:sz w:val="21"/>
              </w:rPr>
              <w:t>；乾县全民所有自然资源资产清查成果通过相关部门审查验收移交后，</w:t>
            </w:r>
            <w:r>
              <w:rPr>
                <w:rFonts w:ascii="仿宋_GB2312" w:hAnsi="仿宋_GB2312" w:cs="仿宋_GB2312" w:eastAsia="仿宋_GB2312"/>
                <w:sz w:val="21"/>
              </w:rPr>
              <w:t>达到付款条件起</w:t>
            </w:r>
            <w:r>
              <w:rPr>
                <w:rFonts w:ascii="仿宋_GB2312" w:hAnsi="仿宋_GB2312" w:cs="仿宋_GB2312" w:eastAsia="仿宋_GB2312"/>
                <w:sz w:val="21"/>
              </w:rPr>
              <w:t xml:space="preserve"> 30 日内，支付合同总金额的</w:t>
            </w:r>
            <w:r>
              <w:rPr>
                <w:rFonts w:ascii="仿宋_GB2312" w:hAnsi="仿宋_GB2312" w:cs="仿宋_GB2312" w:eastAsia="仿宋_GB2312"/>
                <w:sz w:val="21"/>
              </w:rPr>
              <w:t>30.00</w:t>
            </w:r>
            <w:r>
              <w:rPr>
                <w:rFonts w:ascii="仿宋_GB2312" w:hAnsi="仿宋_GB2312" w:cs="仿宋_GB2312" w:eastAsia="仿宋_GB2312"/>
                <w:sz w:val="21"/>
              </w:rPr>
              <w:t xml:space="preserve">%。   </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人员配备合理满足本项目各项需求，职责分工明确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满足本项目采购需求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项目提交后，提供后续项目成果咨询或答疑。</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7个月，最终整体进度与具体时间节点以部、省通知为准。</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乾县自然资源局指定地点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成果通过相关部门评审验收并取得验收意见后，按需求提交纸质成果及电子成果。符合全民所有自然资源资产清查工作相关技术要求并通过省市自然资源主管部门组织的评审专家组验收。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完成乾县全民所有自然资源资产清查成果经市级预检后上报省级</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70.00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乾县全民所有自然资源资产清查成果通过相关部门审查验收移交后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具体依合同约定</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3.4.1响应报价是供应商响应本项目要求的全部工作内容的价格体现，包括供应商完成本项目所需的人工费、设备费、管理费、利润和税金等全部费用。在提供服务的过程中的任何遗漏，均由成交供应商免费提供，采购人将不再支付任何费用。 3.4.2采购标的对应的中小企业划分标准所属行业为其他未列明行业。 3.4.3 成交供应商在成交结果公告发布后3个工作日内提供叁套纸质响应文件（经编标工具生成的文件直接打印并加盖公章），递交的纸质版文件内容确保与线上电子文件保持一致，不允许修改和补充。3.4.4关于弃标的说明：按照《西安市财政局关于促进政府采购公平竞争优化营商环境的通知》（市财函〔2021〕431号）规定：供应商登记免费领取招标文件的，如不参与项目投标，应在提交投标文件截止时间前一日以书面形式告知采购代理机构（出具弃标函发送至代理机构邮箱：dinghuijiacheng@163.com）。否则，采购代理机构可以向财政部门反映情况并提供相应的佐证。供应商一年内累计出现三次该情形，将被监管部门记录为失信行为。3.4.5关于异常低价的处理： 根据《关于推动解决政府采购异常低价问题的通知》（ 财库〔2026〕2号）规定，政府采购评审中出现下列情形之一的，磋商小组应当启动异常低价投标（响应）审查程序： 1.最终报价低于全部通过符合性审查供应商最终报价平均值50%的，即最终报价&lt;全部通过符合性审查供应商最终报价平均值×50%； 2.最终报价低于通过符合性审查的次低报价供应商最终报价50%的，即最终报价&lt;通过符合性审查的次低报价供应商最终报价×50%； 3.最终报价低于采购项目最高限价45%的，即最终报价&lt;采购项目最高限价×45%； 4.磋商小组基于专业判断，认为供应商报价过低，有可能影响产品质量或者不能诚信履约的其他情形。 磋商小组启动异常低价投标（响应）审查后，属于前述第1项至第4项情形的，应当要求相关供应商在评审现场合理的时间（30分钟）内对投标（响应）价格作出解释，提供项目具体成本测算等与报价合理性相关的书面说明及必要的证明材料，包括但不限于原材料成本、人工成本、制造费用等。其中，属于第3项情形，供应商已随投标（响应）文件一并提交相关书面说明及必要的证明材料的，在评审现场可不再重复提交。 磋商小组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磋商小组应当将其作为无效投标（响应）处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同时提供以下资料：1、提供合格有效的法人或者其他组织的营业执照等证明文件，自然人的身份证明（供应商是法人或其他组织的应提供营业执照等证明文件，供应商是自然人的应提供有效的自然人身份证明）； 2、具有良好的商业信誉和健全的财务会计制度（供应商应提供提供2024或2025年度经审计的财务报告（包括审计报告、资产负债表、利润表、现金流量表、所有者权益变动表（没有可不提供）及附注，成立时间至响应文件提交截止时间不足一年的可提供成立后任意时段的资产负债表），或响应文件提交截止时间三个月内基本账户开户银行出具的资信证明及基本存款账户信息（以上两种形式的资料提供任何一种即可）； 3、提供具有履行合同所必需的设备和专业技术能力的承诺； 4、供应商提供磋商响应文件递交截止之日前一年内已缴纳的至少一个月的纳税证明或完税证明（印花税、个人所得税除外至少提供一种），纳税证明或完税证明上应有代收机构或税务机关的公章或业务专用章，依法免税的供应商应提供相应证明文件； 5、供应商提供磋商响应文件递交截止之日前一年内已缴存的至少一个月的社会保障资金缴存单据或社保机构开具的社会保险参保缴费情况证明，依法不需要缴纳社会保障资金的供应商应提供相应证明文件； 6、参加政府采购活动前三年内，在经营活动中没有重大违法记录的书面声明。</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具有良好的商业信誉和健全的财务会计制度（供应商应提供提供2024或2025年度经审计的财务报告（包括审计报告、资产负债表、利润表、现金流量表、所有者权益变动表（没有可不提供）及附注，成立时间至响应文件提交截止时间不足一年的可提供成立后任意时段的资产负债表），或响应文件提交截止时间三个月内基本账户开户银行出具的资信证明及基本存款账户信息（以上两种形式的资料提供任何一种即可）。</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法定代表人或授权代表身份证明</w:t>
            </w:r>
          </w:p>
        </w:tc>
        <w:tc>
          <w:tcPr>
            <w:tcW w:type="dxa" w:w="3322"/>
          </w:tcPr>
          <w:p>
            <w:pPr>
              <w:pStyle w:val="null3"/>
            </w:pPr>
            <w:r>
              <w:rPr>
                <w:rFonts w:ascii="仿宋_GB2312" w:hAnsi="仿宋_GB2312" w:cs="仿宋_GB2312" w:eastAsia="仿宋_GB2312"/>
              </w:rPr>
              <w:t>法定代表人直接参加磋商的，须出具法定代表人身份证明。法定代表人委托代理人参加磋商的，须出具法定代表人授权书（附法定代表人、代理人身份证复印件）及代理人本单位证明（响应文件提交截止日前六个月内任意一个月养老保险缴纳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供应商须具备行政主管部门颁发的测绘乙级及以上资质；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信用中国”网站（www.creditchina.gov.cn）列入失信被执行人和重大税收违法失信主体，未被中国政府采购网（www.ccgp.gov.cn）列入政府采购严重违法失信行为记录名单。（响应文件解密完成后查询相关信用记录，对列入失信被执行人、重大税收违法失信主体、政府采购严重违法失信行为记录名单及其他不符合《中华人民共和国政府采购法》第二十二条规定的供应商，将拒绝其参与政府采购活动，查询结果以电子或纸质方式留存）</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响应文件签署、盖章均按磋商文件要求签字、盖章</w:t>
            </w:r>
          </w:p>
        </w:tc>
        <w:tc>
          <w:tcPr>
            <w:tcW w:type="dxa" w:w="1661"/>
          </w:tcPr>
          <w:p>
            <w:pPr>
              <w:pStyle w:val="null3"/>
            </w:pPr>
            <w:r>
              <w:rPr>
                <w:rFonts w:ascii="仿宋_GB2312" w:hAnsi="仿宋_GB2312" w:cs="仿宋_GB2312" w:eastAsia="仿宋_GB2312"/>
              </w:rPr>
              <w:t>响应文件封面 分项报价表.docx 服务内容及服务邀请应答表 中小企业声明函 残疾人福利性单位声明函 标的清单 报价表 响应函 资格证明文件.docx 服务方案.docx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符合磋商文件规定</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符合磋商文件规定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响应文件报价</w:t>
            </w:r>
          </w:p>
        </w:tc>
        <w:tc>
          <w:tcPr>
            <w:tcW w:type="dxa" w:w="3322"/>
          </w:tcPr>
          <w:p>
            <w:pPr>
              <w:pStyle w:val="null3"/>
            </w:pPr>
            <w:r>
              <w:rPr>
                <w:rFonts w:ascii="仿宋_GB2312" w:hAnsi="仿宋_GB2312" w:cs="仿宋_GB2312" w:eastAsia="仿宋_GB2312"/>
              </w:rPr>
              <w:t>货币单位符合磋商文件要求，报价符合磋商文件填报要求，报价唯一，且没有超过采购预算或限价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响应有效性</w:t>
            </w:r>
          </w:p>
        </w:tc>
        <w:tc>
          <w:tcPr>
            <w:tcW w:type="dxa" w:w="3322"/>
          </w:tcPr>
          <w:p>
            <w:pPr>
              <w:pStyle w:val="null3"/>
            </w:pPr>
            <w:r>
              <w:rPr>
                <w:rFonts w:ascii="仿宋_GB2312" w:hAnsi="仿宋_GB2312" w:cs="仿宋_GB2312" w:eastAsia="仿宋_GB2312"/>
              </w:rPr>
              <w:t>未出现磋商文件规定的无效响应情形</w:t>
            </w:r>
          </w:p>
        </w:tc>
        <w:tc>
          <w:tcPr>
            <w:tcW w:type="dxa" w:w="1661"/>
          </w:tcPr>
          <w:p>
            <w:pPr>
              <w:pStyle w:val="null3"/>
            </w:pPr>
            <w:r>
              <w:rPr>
                <w:rFonts w:ascii="仿宋_GB2312" w:hAnsi="仿宋_GB2312" w:cs="仿宋_GB2312" w:eastAsia="仿宋_GB2312"/>
              </w:rPr>
              <w:t>分项报价表.docx 服务内容及服务邀请应答表 中小企业声明函 残疾人福利性单位声明函 标的清单 报价表 响应函 资格证明文件.docx 服务方案.docx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响应文件内容</w:t>
            </w:r>
          </w:p>
        </w:tc>
        <w:tc>
          <w:tcPr>
            <w:tcW w:type="dxa" w:w="3322"/>
          </w:tcPr>
          <w:p>
            <w:pPr>
              <w:pStyle w:val="null3"/>
            </w:pPr>
            <w:r>
              <w:rPr>
                <w:rFonts w:ascii="仿宋_GB2312" w:hAnsi="仿宋_GB2312" w:cs="仿宋_GB2312" w:eastAsia="仿宋_GB2312"/>
              </w:rPr>
              <w:t>响应文件内容齐全、无遗漏</w:t>
            </w:r>
          </w:p>
        </w:tc>
        <w:tc>
          <w:tcPr>
            <w:tcW w:type="dxa" w:w="1661"/>
          </w:tcPr>
          <w:p>
            <w:pPr>
              <w:pStyle w:val="null3"/>
            </w:pPr>
            <w:r>
              <w:rPr>
                <w:rFonts w:ascii="仿宋_GB2312" w:hAnsi="仿宋_GB2312" w:cs="仿宋_GB2312" w:eastAsia="仿宋_GB2312"/>
              </w:rPr>
              <w:t>分项报价表.docx 服务内容及服务邀请应答表 标的清单 报价表 服务方案.docx 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对磋商文件响应</w:t>
            </w:r>
          </w:p>
        </w:tc>
        <w:tc>
          <w:tcPr>
            <w:tcW w:type="dxa" w:w="3322"/>
          </w:tcPr>
          <w:p>
            <w:pPr>
              <w:pStyle w:val="null3"/>
            </w:pPr>
            <w:r>
              <w:rPr>
                <w:rFonts w:ascii="仿宋_GB2312" w:hAnsi="仿宋_GB2312" w:cs="仿宋_GB2312" w:eastAsia="仿宋_GB2312"/>
              </w:rPr>
              <w:t>完全理解并接受对合格供应商、合格服务的要求，实质性要求完全响应且没有负偏离，不能有任何采购人不能接受的附加条件</w:t>
            </w:r>
          </w:p>
        </w:tc>
        <w:tc>
          <w:tcPr>
            <w:tcW w:type="dxa" w:w="1661"/>
          </w:tcPr>
          <w:p>
            <w:pPr>
              <w:pStyle w:val="null3"/>
            </w:pPr>
            <w:r>
              <w:rPr>
                <w:rFonts w:ascii="仿宋_GB2312" w:hAnsi="仿宋_GB2312" w:cs="仿宋_GB2312" w:eastAsia="仿宋_GB2312"/>
              </w:rPr>
              <w:t>分项报价表.docx 服务内容及服务邀请应答表 中小企业声明函 残疾人福利性单位声明函 标的清单 报价表 响应函 资格证明文件.docx 服务方案.docx 陕西省政府采购供应商拒绝政府采购领域商业贿赂承诺书.docx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项目需求理解</w:t>
            </w:r>
          </w:p>
        </w:tc>
        <w:tc>
          <w:tcPr>
            <w:tcW w:type="dxa" w:w="2492"/>
          </w:tcPr>
          <w:p>
            <w:pPr>
              <w:pStyle w:val="null3"/>
            </w:pPr>
            <w:r>
              <w:rPr>
                <w:rFonts w:ascii="仿宋_GB2312" w:hAnsi="仿宋_GB2312" w:cs="仿宋_GB2312" w:eastAsia="仿宋_GB2312"/>
              </w:rPr>
              <w:t>1.评审内容：①项目背景；②项目需求；③工作方向解读。 2.评审标准：①全面性：掌握项目各项工作要求，内容全面完善。②准确性：了解项目真实情况；③针对性：能够紧扣项目实际情况，内容科学合理。 3.赋分标准：①项目背景：每完全满足一项评审标准得1分，满分3分；有一项缺陷扣0.5分。②项目需求：每完全满足一项评审标准得1分，满分3分；有一项缺陷扣0.5分；③工作方向解读：每完全满足一项评审标准得1分，满分3分；有一项缺陷扣0.5分。（缺陷是指：内容粗略、逻辑混乱、描述过于简单、与项目特点不匹配、凭空编造、逻辑漏洞、出现常识性错误、存在不可能实现的夸大情形） 4.以上内容未提供得0分。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1.评审内容：①服务内容②服务目标③服务计划④服务标准。 2.评审标准：①可实施性：实施步骤清晰、计划合理，可实施性强。②合理性：切合本项目实际情况，设计合理；③针对性：能够紧扣项目实际情况，内容科学合理。 3.赋分标准：①服务内容：每完全满足一项评审标准得1分，满分3分；有一项缺陷扣0.5分。②服务目标：每完全满足一项评审标准得1分，满分3分；有一项缺陷扣0.5分；③服务计划：每完全满足一项评审标准得1分，满分3分；有一项缺陷扣0.5分；④服务标准：每完全满足一项评审标准得1分，满分3分；有一项缺陷扣0.5分。（缺陷是指：内容粗略、逻辑混乱、描述过于简单、与项目特点不匹配、凭空编造、逻辑漏洞、出现常识性错误、存在不可能实现的夸大情形） 4.以上内容未提供得0分。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重难点应对方案</w:t>
            </w:r>
          </w:p>
        </w:tc>
        <w:tc>
          <w:tcPr>
            <w:tcW w:type="dxa" w:w="2492"/>
          </w:tcPr>
          <w:p>
            <w:pPr>
              <w:pStyle w:val="null3"/>
            </w:pPr>
            <w:r>
              <w:rPr>
                <w:rFonts w:ascii="仿宋_GB2312" w:hAnsi="仿宋_GB2312" w:cs="仿宋_GB2312" w:eastAsia="仿宋_GB2312"/>
              </w:rPr>
              <w:t>1. 评审内容：①针对本项目的重难点分析；②针对重难点分析后的合理化建议。 2. 评审标准：①完整性：方案须全面，对评审内容中的要求有详细描述及说明；②可实施性：切合本项目实际情况，实施步骤清晰、合理；③针对性：方案能够紧扣项目实际情况，内容科学合理。 3. 赋分标准：①针对本项目的重难点分析：每完全满足一项评审标准得1分，满分3分；有一项缺陷扣0.5分。②针对重难点分析后的合理化建议：每完全满足一项评审标准得1分，满分3分；有一项缺陷扣0.5分。（缺陷是指：内容粗略、逻辑混乱、描述过于简单、与项目特点不匹配、凭空编造、逻辑漏洞、出现常识性错误、存在不可能实现的夸大情形） 4.以上内容未提供得0分。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项目进度安排</w:t>
            </w:r>
          </w:p>
        </w:tc>
        <w:tc>
          <w:tcPr>
            <w:tcW w:type="dxa" w:w="2492"/>
          </w:tcPr>
          <w:p>
            <w:pPr>
              <w:pStyle w:val="null3"/>
            </w:pPr>
            <w:r>
              <w:rPr>
                <w:rFonts w:ascii="仿宋_GB2312" w:hAnsi="仿宋_GB2312" w:cs="仿宋_GB2312" w:eastAsia="仿宋_GB2312"/>
              </w:rPr>
              <w:t>1.评审内容：①进度计划安排②进度计划保障措施。 2.评审标准：①可实施性：实施步骤清晰、计划合理，可实施性强。②合理性：切合本项目实际情况，设计合理。 3.赋分标准：①进度计划安排：每完全满足一项评审标准得2分，满分4分；有一项缺陷扣1分。②进度计划保障措施：每完全满足一项评审标准得2分，满分4分；有一项缺陷扣1分。（缺陷是指：内容粗略、逻辑混乱、描述过于简单、与项目特点不匹配、凭空编造、逻辑漏洞、出现常识性错误、存在不可能实现的夸大情形） 4.以上内容未提供得0分。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质量保证方案</w:t>
            </w:r>
          </w:p>
        </w:tc>
        <w:tc>
          <w:tcPr>
            <w:tcW w:type="dxa" w:w="2492"/>
          </w:tcPr>
          <w:p>
            <w:pPr>
              <w:pStyle w:val="null3"/>
            </w:pPr>
            <w:r>
              <w:rPr>
                <w:rFonts w:ascii="仿宋_GB2312" w:hAnsi="仿宋_GB2312" w:cs="仿宋_GB2312" w:eastAsia="仿宋_GB2312"/>
              </w:rPr>
              <w:t>1.评审内容：①质量管理体系②质量保障措施。 2.评审标准：①可实施性：实施步骤清晰、计划合理，可实施性强。②合理性：切合本项目实际情况，设计合理。 3.赋分标准：①质量管理体系：每完全满足一项评审标准得2分，满分4分；有一项缺陷扣1分。②质量保障措施：每完全满足一项评审标准得2分，满分4分；有一项缺陷扣1分。（缺陷是指：内容粗略、逻辑混乱、描述过于简单、与项目特点不匹配、凭空编造、逻辑漏洞、出现常识性错误、存在不可能实现的夸大情形） 4.以上内容未提供得0分。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保密制度</w:t>
            </w:r>
          </w:p>
        </w:tc>
        <w:tc>
          <w:tcPr>
            <w:tcW w:type="dxa" w:w="2492"/>
          </w:tcPr>
          <w:p>
            <w:pPr>
              <w:pStyle w:val="null3"/>
            </w:pPr>
            <w:r>
              <w:rPr>
                <w:rFonts w:ascii="仿宋_GB2312" w:hAnsi="仿宋_GB2312" w:cs="仿宋_GB2312" w:eastAsia="仿宋_GB2312"/>
              </w:rPr>
              <w:t>1.评审内容：①保密管理制度②员工保密管理方案。 2.评审标准：①可实施性：实施步骤清晰、计划合理，可实施性强。②合理性：切合本项目实际情况，设计合理。 3.赋分标准：①质保密管理制度：每完全满足一项评审标准得2分，满分4分；有一项缺陷扣1分。②员工保密管理方案：每完全满足一项评审标准得2分，满分4分；有一项缺陷扣1分。（缺陷是指：内容粗略、逻辑混乱、描述过于简单、与项目特点不匹配、凭空编造、逻辑漏洞、出现常识性错误、存在不可能实现的夸大情形） 4.以上内容未提供得0分。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后期服务配合计划</w:t>
            </w:r>
          </w:p>
        </w:tc>
        <w:tc>
          <w:tcPr>
            <w:tcW w:type="dxa" w:w="2492"/>
          </w:tcPr>
          <w:p>
            <w:pPr>
              <w:pStyle w:val="null3"/>
            </w:pPr>
            <w:r>
              <w:rPr>
                <w:rFonts w:ascii="仿宋_GB2312" w:hAnsi="仿宋_GB2312" w:cs="仿宋_GB2312" w:eastAsia="仿宋_GB2312"/>
              </w:rPr>
              <w:t>1.评审内容：①后期服务配合计划完备、可行性强，能满足采购人要求；②保证随叫随到，配合采购人提供相应的成果方案及相关材料；③配合采购人或上级主管部门完成成果核查、汇交入库等相关工作。 2.评审标准：①可实施性：实施步骤清晰、计划合理，可实施性强。②合理性：切合本项目实际情况，设计合理。③针对性：能够紧扣项目实际情况，内容科学合理； 3.赋分标准：①后期服务配合计划完备、可行性强，能满足采购人要求：每完全满足一项评审标准得1分，满分3分；有一项缺陷扣0.5分。②保证随叫随到，配合采购人提供相应的成果方案及相关材料：每完全满足一项评审标准得1分，满分3分；有一项缺陷扣0.5分；③配合采购人或上级主管部门完成成果核查、汇交入库等相关工作：每完全满足一项评审标准得1分，满分3分；有一项缺陷扣0.5分。（缺陷是指：内容粗略、逻辑混乱、描述过于简单、与项目特点不匹配、凭空编造、逻辑漏洞、出现常识性错误、存在不可能实现的夸大情形） 4.以上内容未提供得0分。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1、项目负责人：具有测绘及相关专业高级技术职称证书得4分；具有测绘及相关专业中级及以上技术职称证书或注册测绘师资格证书得2分。（响应文件中附职称证原件的扫描件，未提供不计分。） 2、拟派项目组成员（除项目负责人以外）具有测绘及相关专业技术职称证书或注册测绘师资格证书的，每提供一个符合要求的人员得2分，最高得10分。（响应文件中附相关注册证及职称证原件的扫描件，未提供或提供不全不计分。）</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供应商提供2023年1月1日至今类似项目业绩，1个得2分，最高6分。（以合同或协议签订日期为准，响应文件中附加盖公章的合同或协议复印件，否则不作为评审依据）</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价格分采用低价优先法计算，即满足竞争性磋商文件要求且最后报价最低的供应商的价格为评审基准价，其价格分为满分。其他供应商的价格分统一按照下列公式计算： 报价得分=（评审基准价/最后报价）×价格权值（即20%）×100（注：本项目为专门面向中小企业采购项目，不再执行价格评审优惠的扶持政策。）</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详见附件：服务合同.docx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