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版本号：QXZC-CS2026C004J20260423001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乾县残疾人托养服务项目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QXZC-CS2026C004J</w:t>
      </w:r>
      <w:r>
        <w:br/>
      </w:r>
      <w:r>
        <w:br/>
      </w:r>
      <w:r>
        <w:br/>
      </w:r>
    </w:p>
    <w:p>
      <w:pPr>
        <w:pStyle w:val="null3"/>
        <w:jc w:val="center"/>
        <w:outlineLvl w:val="2"/>
      </w:pPr>
      <w:r>
        <w:rPr>
          <w:rFonts w:ascii="仿宋_GB2312" w:hAnsi="仿宋_GB2312" w:cs="仿宋_GB2312" w:eastAsia="仿宋_GB2312"/>
          <w:sz w:val="28"/>
          <w:b/>
        </w:rPr>
        <w:t>乾县残疾人联合会</w:t>
      </w:r>
    </w:p>
    <w:p>
      <w:pPr>
        <w:pStyle w:val="null3"/>
        <w:jc w:val="center"/>
        <w:outlineLvl w:val="2"/>
      </w:pPr>
      <w:r>
        <w:rPr>
          <w:rFonts w:ascii="仿宋_GB2312" w:hAnsi="仿宋_GB2312" w:cs="仿宋_GB2312" w:eastAsia="仿宋_GB2312"/>
          <w:sz w:val="28"/>
          <w:b/>
        </w:rPr>
        <w:t>乾县政府采购中心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乾县政府采购中心</w:t>
      </w:r>
      <w:r>
        <w:rPr>
          <w:rFonts w:ascii="仿宋_GB2312" w:hAnsi="仿宋_GB2312" w:cs="仿宋_GB2312" w:eastAsia="仿宋_GB2312"/>
        </w:rPr>
        <w:t>（以下简称“代理机构”）受</w:t>
      </w:r>
      <w:r>
        <w:rPr>
          <w:rFonts w:ascii="仿宋_GB2312" w:hAnsi="仿宋_GB2312" w:cs="仿宋_GB2312" w:eastAsia="仿宋_GB2312"/>
        </w:rPr>
        <w:t>乾县残疾人联合会</w:t>
      </w:r>
      <w:r>
        <w:rPr>
          <w:rFonts w:ascii="仿宋_GB2312" w:hAnsi="仿宋_GB2312" w:cs="仿宋_GB2312" w:eastAsia="仿宋_GB2312"/>
        </w:rPr>
        <w:t>委托，拟对</w:t>
      </w:r>
      <w:r>
        <w:rPr>
          <w:rFonts w:ascii="仿宋_GB2312" w:hAnsi="仿宋_GB2312" w:cs="仿宋_GB2312" w:eastAsia="仿宋_GB2312"/>
        </w:rPr>
        <w:t>乾县残疾人托养服务项目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QXZC-CS2026C004J</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乾县残疾人托养服务项目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向残疾人提供生活照料和护理、生活自理能力训练、社会适应能力辅导、职业康复和劳动技能训练、运动功能训练等服务。对75人进行寄宿制托养、132人进行居家托养。</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采购包1（1）：属于专门面向中小企业采购。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w:t>
      </w:r>
    </w:p>
    <w:p>
      <w:pPr>
        <w:pStyle w:val="null3"/>
      </w:pPr>
      <w:r>
        <w:rPr>
          <w:rFonts w:ascii="仿宋_GB2312" w:hAnsi="仿宋_GB2312" w:cs="仿宋_GB2312" w:eastAsia="仿宋_GB2312"/>
        </w:rPr>
        <w:t>2、财务状况报告：提供2025年度完整的财务审计报告或开标时间前三个月内基本账户银行出具的资信证明；</w:t>
      </w:r>
    </w:p>
    <w:p>
      <w:pPr>
        <w:pStyle w:val="null3"/>
      </w:pPr>
      <w:r>
        <w:rPr>
          <w:rFonts w:ascii="仿宋_GB2312" w:hAnsi="仿宋_GB2312" w:cs="仿宋_GB2312" w:eastAsia="仿宋_GB2312"/>
        </w:rPr>
        <w:t>3、税收缴纳证明：提供采购活动前6个月内任意一月的缴纳纳税证明或完税证明，纳税证明或完税证明上应有代收机构或税务机关的公章或业务专用章。依法免税的供应商应提供相关文件证明；成立时间至提交投标文件截止时间不足一年的，可提供成立后本年度任意时段税收缴纳证明；</w:t>
      </w:r>
    </w:p>
    <w:p>
      <w:pPr>
        <w:pStyle w:val="null3"/>
      </w:pPr>
      <w:r>
        <w:rPr>
          <w:rFonts w:ascii="仿宋_GB2312" w:hAnsi="仿宋_GB2312" w:cs="仿宋_GB2312" w:eastAsia="仿宋_GB2312"/>
        </w:rPr>
        <w:t>4、社保缴纳证明：提供采购活动前6个月内任意一月的社会保障资金缴存单据或社保机构开具的社会保险参保缴费情况证明。依法不需要缴纳社会保障资金的供应商应提供相关文件证明；成立时间至提交投标文件截止时间不足一年的，可提供成立后本年度任意时段社保缴纳证明；</w:t>
      </w:r>
    </w:p>
    <w:p>
      <w:pPr>
        <w:pStyle w:val="null3"/>
      </w:pPr>
      <w:r>
        <w:rPr>
          <w:rFonts w:ascii="仿宋_GB2312" w:hAnsi="仿宋_GB2312" w:cs="仿宋_GB2312" w:eastAsia="仿宋_GB2312"/>
        </w:rPr>
        <w:t>5、书面声明：参加本次政府采购活动前3年内在经营活动中没有重大违纪的书面声明；</w:t>
      </w:r>
    </w:p>
    <w:p>
      <w:pPr>
        <w:pStyle w:val="null3"/>
      </w:pPr>
      <w:r>
        <w:rPr>
          <w:rFonts w:ascii="仿宋_GB2312" w:hAnsi="仿宋_GB2312" w:cs="仿宋_GB2312" w:eastAsia="仿宋_GB2312"/>
        </w:rPr>
        <w:t>6、法人身份证明或法定代表人授权书：法定代表人直接参加投标的，须出具法人身份证明（含法人身份证原件、复印件及近6个月内任意一月社保参保证明）；法定代表人授权代表参加投标的，须出具法定代表人授权书（含法人、被授权人身份证复印件）、被授权人身份证原件及近6个月内任意一月社保参保证明；</w:t>
      </w:r>
    </w:p>
    <w:p>
      <w:pPr>
        <w:pStyle w:val="null3"/>
      </w:pPr>
      <w:r>
        <w:rPr>
          <w:rFonts w:ascii="仿宋_GB2312" w:hAnsi="仿宋_GB2312" w:cs="仿宋_GB2312" w:eastAsia="仿宋_GB2312"/>
        </w:rPr>
        <w:t>7、信用中国及中国政府采购网失信行为纪录查询：投标人提供在“信用中国”网站（www.creditchina.gov.cn）、中国政府采购网（www.ccgp.gov.cn）查询的截图。查询范围供应商“不得为被列入“信用中国”网站失信被执行人、重大税收违法案件当事人和中国政府采购网政府采购严重违法失信行为记录查询”；</w:t>
      </w:r>
    </w:p>
    <w:p>
      <w:pPr>
        <w:pStyle w:val="null3"/>
      </w:pPr>
      <w:r>
        <w:rPr>
          <w:rFonts w:ascii="仿宋_GB2312" w:hAnsi="仿宋_GB2312" w:cs="仿宋_GB2312" w:eastAsia="仿宋_GB2312"/>
        </w:rPr>
        <w:t>8、非联合体投标：本项目要求独立法人，不接受联合体投标。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乾县残疾人联合会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高庙巷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严迎新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18628569156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乾县政府采购中心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乾县东新街15号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许先生/王先生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029-35521143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乾县政府采购管理股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吴翌真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13772572080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乾县残疾人联合会</w:t>
      </w:r>
      <w:r>
        <w:rPr>
          <w:rFonts w:ascii="仿宋_GB2312" w:hAnsi="仿宋_GB2312" w:cs="仿宋_GB2312" w:eastAsia="仿宋_GB2312"/>
        </w:rPr>
        <w:t>和</w:t>
      </w:r>
      <w:r>
        <w:rPr>
          <w:rFonts w:ascii="仿宋_GB2312" w:hAnsi="仿宋_GB2312" w:cs="仿宋_GB2312" w:eastAsia="仿宋_GB2312"/>
        </w:rPr>
        <w:t>乾县政府采购中心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乾县残疾人联合会</w:t>
      </w:r>
      <w:r>
        <w:rPr>
          <w:rFonts w:ascii="仿宋_GB2312" w:hAnsi="仿宋_GB2312" w:cs="仿宋_GB2312" w:eastAsia="仿宋_GB2312"/>
        </w:rPr>
        <w:t>负责解释。除上述磋商文件内容，其他内容由</w:t>
      </w:r>
      <w:r>
        <w:rPr>
          <w:rFonts w:ascii="仿宋_GB2312" w:hAnsi="仿宋_GB2312" w:cs="仿宋_GB2312" w:eastAsia="仿宋_GB2312"/>
        </w:rPr>
        <w:t>乾县政府采购中心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乾县残疾人联合会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乾县政府采购中心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寄宿制托养服务75人次，每服务3个月为1人次，居家托养服务132人次，入户服务22次。</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乾县政府采购中心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乾县政府采购中心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乾县政府采购中心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联系人：许先生/王先生</w:t>
      </w:r>
    </w:p>
    <w:p>
      <w:pPr>
        <w:pStyle w:val="null3"/>
      </w:pPr>
      <w:r>
        <w:rPr>
          <w:rFonts w:ascii="仿宋_GB2312" w:hAnsi="仿宋_GB2312" w:cs="仿宋_GB2312" w:eastAsia="仿宋_GB2312"/>
        </w:rPr>
        <w:t>联系电话：029-35521143</w:t>
      </w:r>
    </w:p>
    <w:p>
      <w:pPr>
        <w:pStyle w:val="null3"/>
      </w:pPr>
      <w:r>
        <w:rPr>
          <w:rFonts w:ascii="仿宋_GB2312" w:hAnsi="仿宋_GB2312" w:cs="仿宋_GB2312" w:eastAsia="仿宋_GB2312"/>
        </w:rPr>
        <w:t>地址：乾县财政局南一楼</w:t>
      </w:r>
    </w:p>
    <w:p>
      <w:pPr>
        <w:pStyle w:val="null3"/>
      </w:pPr>
      <w:r>
        <w:rPr>
          <w:rFonts w:ascii="仿宋_GB2312" w:hAnsi="仿宋_GB2312" w:cs="仿宋_GB2312" w:eastAsia="仿宋_GB2312"/>
        </w:rPr>
        <w:t>邮编：713300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向残疾人提供生活照料和护理、生活自理能力训练、社会适应能力辅导、职业康复和劳动技能训练、运动功能训练等服务。对75人进行寄宿制托养、132人进行居家托养。</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780,000.00</w:t>
      </w:r>
    </w:p>
    <w:p>
      <w:pPr>
        <w:pStyle w:val="null3"/>
      </w:pPr>
      <w:r>
        <w:rPr>
          <w:rFonts w:ascii="仿宋_GB2312" w:hAnsi="仿宋_GB2312" w:cs="仿宋_GB2312" w:eastAsia="仿宋_GB2312"/>
        </w:rPr>
        <w:t>采购包最高限价（元）: 780,000.00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残疾人托养服务项目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780,000.00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标的名称：残疾人托养服务项目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44"/>
              </w:rPr>
              <w:t>乾县</w:t>
            </w:r>
            <w:r>
              <w:rPr>
                <w:rFonts w:ascii="仿宋_GB2312" w:hAnsi="仿宋_GB2312" w:cs="仿宋_GB2312" w:eastAsia="仿宋_GB2312"/>
                <w:sz w:val="44"/>
              </w:rPr>
              <w:t>202</w:t>
            </w:r>
            <w:r>
              <w:rPr>
                <w:rFonts w:ascii="仿宋_GB2312" w:hAnsi="仿宋_GB2312" w:cs="仿宋_GB2312" w:eastAsia="仿宋_GB2312"/>
                <w:sz w:val="44"/>
              </w:rPr>
              <w:t>6</w:t>
            </w:r>
            <w:r>
              <w:rPr>
                <w:rFonts w:ascii="仿宋_GB2312" w:hAnsi="仿宋_GB2312" w:cs="仿宋_GB2312" w:eastAsia="仿宋_GB2312"/>
                <w:sz w:val="44"/>
              </w:rPr>
              <w:t>年</w:t>
            </w:r>
            <w:r>
              <w:rPr>
                <w:rFonts w:ascii="仿宋_GB2312" w:hAnsi="仿宋_GB2312" w:cs="仿宋_GB2312" w:eastAsia="仿宋_GB2312"/>
                <w:sz w:val="44"/>
              </w:rPr>
              <w:t>残疾人托养</w:t>
            </w:r>
            <w:r>
              <w:rPr>
                <w:rFonts w:ascii="仿宋_GB2312" w:hAnsi="仿宋_GB2312" w:cs="仿宋_GB2312" w:eastAsia="仿宋_GB2312"/>
                <w:sz w:val="44"/>
              </w:rPr>
              <w:t>服务</w:t>
            </w:r>
            <w:r>
              <w:rPr>
                <w:rFonts w:ascii="仿宋_GB2312" w:hAnsi="仿宋_GB2312" w:cs="仿宋_GB2312" w:eastAsia="仿宋_GB2312"/>
                <w:sz w:val="44"/>
              </w:rPr>
              <w:t>项目</w:t>
            </w:r>
          </w:p>
          <w:p>
            <w:pPr>
              <w:pStyle w:val="null3"/>
              <w:jc w:val="center"/>
            </w:pPr>
            <w:r>
              <w:rPr>
                <w:rFonts w:ascii="仿宋_GB2312" w:hAnsi="仿宋_GB2312" w:cs="仿宋_GB2312" w:eastAsia="仿宋_GB2312"/>
                <w:sz w:val="44"/>
              </w:rPr>
              <w:t>实施方案</w:t>
            </w:r>
            <w:r>
              <w:rPr>
                <w:rFonts w:ascii="仿宋_GB2312" w:hAnsi="仿宋_GB2312" w:cs="仿宋_GB2312" w:eastAsia="仿宋_GB2312"/>
                <w:sz w:val="44"/>
              </w:rPr>
              <w:t>及服务要求</w:t>
            </w:r>
          </w:p>
          <w:p>
            <w:pPr>
              <w:pStyle w:val="null3"/>
              <w:ind w:firstLine="600"/>
              <w:jc w:val="both"/>
            </w:pPr>
            <w:r>
              <w:rPr>
                <w:rFonts w:ascii="仿宋_GB2312" w:hAnsi="仿宋_GB2312" w:cs="仿宋_GB2312" w:eastAsia="仿宋_GB2312"/>
                <w:sz w:val="30"/>
              </w:rPr>
              <w:t>一、经费来源及绩效目标</w:t>
            </w:r>
          </w:p>
          <w:p>
            <w:pPr>
              <w:pStyle w:val="null3"/>
              <w:ind w:firstLine="600"/>
              <w:jc w:val="both"/>
            </w:pPr>
            <w:r>
              <w:rPr>
                <w:rFonts w:ascii="仿宋_GB2312" w:hAnsi="仿宋_GB2312" w:cs="仿宋_GB2312" w:eastAsia="仿宋_GB2312"/>
                <w:sz w:val="30"/>
              </w:rPr>
              <w:t>项目资金</w:t>
            </w:r>
            <w:r>
              <w:rPr>
                <w:rFonts w:ascii="仿宋_GB2312" w:hAnsi="仿宋_GB2312" w:cs="仿宋_GB2312" w:eastAsia="仿宋_GB2312"/>
                <w:sz w:val="30"/>
              </w:rPr>
              <w:t>共计为：</w:t>
            </w:r>
            <w:r>
              <w:rPr>
                <w:rFonts w:ascii="仿宋_GB2312" w:hAnsi="仿宋_GB2312" w:cs="仿宋_GB2312" w:eastAsia="仿宋_GB2312"/>
                <w:sz w:val="30"/>
              </w:rPr>
              <w:t>78</w:t>
            </w:r>
            <w:r>
              <w:rPr>
                <w:rFonts w:ascii="仿宋_GB2312" w:hAnsi="仿宋_GB2312" w:cs="仿宋_GB2312" w:eastAsia="仿宋_GB2312"/>
                <w:sz w:val="30"/>
              </w:rPr>
              <w:t>万元，</w:t>
            </w:r>
            <w:r>
              <w:rPr>
                <w:rFonts w:ascii="仿宋_GB2312" w:hAnsi="仿宋_GB2312" w:cs="仿宋_GB2312" w:eastAsia="仿宋_GB2312"/>
                <w:sz w:val="30"/>
              </w:rPr>
              <w:t>其中</w:t>
            </w:r>
            <w:r>
              <w:rPr>
                <w:rFonts w:ascii="仿宋_GB2312" w:hAnsi="仿宋_GB2312" w:cs="仿宋_GB2312" w:eastAsia="仿宋_GB2312"/>
                <w:sz w:val="30"/>
              </w:rPr>
              <w:t>45万元在残疾人为75名肢体、智力、精神类残疾人开展寄宿制集中托养服务：其中33万元在薛录镇、马连镇、大杨镇、梁村镇、姜村镇、王村镇所辖的132名残疾人开展居家托养服务，</w:t>
            </w:r>
            <w:r>
              <w:rPr>
                <w:rFonts w:ascii="仿宋_GB2312" w:hAnsi="仿宋_GB2312" w:cs="仿宋_GB2312" w:eastAsia="仿宋_GB2312"/>
                <w:sz w:val="30"/>
              </w:rPr>
              <w:t>解放家庭生产力、缓解家庭支出和照护负担。接受服务残疾人及家属满意度达</w:t>
            </w:r>
            <w:r>
              <w:rPr>
                <w:rFonts w:ascii="仿宋_GB2312" w:hAnsi="仿宋_GB2312" w:cs="仿宋_GB2312" w:eastAsia="仿宋_GB2312"/>
                <w:sz w:val="30"/>
              </w:rPr>
              <w:t>9</w:t>
            </w:r>
            <w:r>
              <w:rPr>
                <w:rFonts w:ascii="仿宋_GB2312" w:hAnsi="仿宋_GB2312" w:cs="仿宋_GB2312" w:eastAsia="仿宋_GB2312"/>
                <w:sz w:val="30"/>
              </w:rPr>
              <w:t>0%以上。</w:t>
            </w:r>
          </w:p>
          <w:p>
            <w:pPr>
              <w:pStyle w:val="null3"/>
              <w:ind w:firstLine="600"/>
              <w:jc w:val="both"/>
            </w:pPr>
            <w:r>
              <w:rPr>
                <w:rFonts w:ascii="仿宋_GB2312" w:hAnsi="仿宋_GB2312" w:cs="仿宋_GB2312" w:eastAsia="仿宋_GB2312"/>
                <w:sz w:val="30"/>
              </w:rPr>
              <w:t>二、服务对象</w:t>
            </w:r>
          </w:p>
          <w:p>
            <w:pPr>
              <w:pStyle w:val="null3"/>
              <w:ind w:firstLine="600"/>
              <w:jc w:val="both"/>
            </w:pPr>
            <w:r>
              <w:rPr>
                <w:rFonts w:ascii="仿宋_GB2312" w:hAnsi="仿宋_GB2312" w:cs="仿宋_GB2312" w:eastAsia="仿宋_GB2312"/>
                <w:sz w:val="30"/>
              </w:rPr>
              <w:t>具有</w:t>
            </w:r>
            <w:r>
              <w:rPr>
                <w:rFonts w:ascii="仿宋_GB2312" w:hAnsi="仿宋_GB2312" w:cs="仿宋_GB2312" w:eastAsia="仿宋_GB2312"/>
                <w:sz w:val="30"/>
              </w:rPr>
              <w:t>乾县</w:t>
            </w:r>
            <w:r>
              <w:rPr>
                <w:rFonts w:ascii="仿宋_GB2312" w:hAnsi="仿宋_GB2312" w:cs="仿宋_GB2312" w:eastAsia="仿宋_GB2312"/>
                <w:sz w:val="30"/>
              </w:rPr>
              <w:t>户籍、处于就业年龄段（</w:t>
            </w:r>
            <w:r>
              <w:rPr>
                <w:rFonts w:ascii="仿宋_GB2312" w:hAnsi="仿宋_GB2312" w:cs="仿宋_GB2312" w:eastAsia="仿宋_GB2312"/>
                <w:sz w:val="30"/>
              </w:rPr>
              <w:t>16周岁至法定退休年龄）、持有《中华人民共和国残疾人证》，有托养服务需求的智力残疾人、稳定期的精神残疾人（指精神障碍已经在精神专科确诊并得到治疗，急性期症状已被控制，目前处于较稳定的状态，并经精神科医师风险评估可以转介托养的精神残疾人）、重度肢体残疾人以及同时存在智力残疾或精神残疾的多重残疾人。</w:t>
            </w:r>
          </w:p>
          <w:p>
            <w:pPr>
              <w:pStyle w:val="null3"/>
              <w:ind w:firstLine="600"/>
              <w:jc w:val="both"/>
            </w:pPr>
            <w:r>
              <w:rPr>
                <w:rFonts w:ascii="仿宋_GB2312" w:hAnsi="仿宋_GB2312" w:cs="仿宋_GB2312" w:eastAsia="仿宋_GB2312"/>
                <w:sz w:val="30"/>
              </w:rPr>
              <w:t>三、购买主体和承接主体、购买标准和要求、购买服务内容、工作程序</w:t>
            </w:r>
          </w:p>
          <w:p>
            <w:pPr>
              <w:pStyle w:val="null3"/>
              <w:ind w:firstLine="600"/>
              <w:jc w:val="both"/>
            </w:pPr>
            <w:r>
              <w:rPr>
                <w:rFonts w:ascii="仿宋_GB2312" w:hAnsi="仿宋_GB2312" w:cs="仿宋_GB2312" w:eastAsia="仿宋_GB2312"/>
                <w:sz w:val="30"/>
              </w:rPr>
              <w:t>1、</w:t>
            </w:r>
            <w:r>
              <w:rPr>
                <w:rFonts w:ascii="仿宋_GB2312" w:hAnsi="仿宋_GB2312" w:cs="仿宋_GB2312" w:eastAsia="仿宋_GB2312"/>
                <w:sz w:val="30"/>
              </w:rPr>
              <w:t>购买主体是</w:t>
            </w:r>
            <w:r>
              <w:rPr>
                <w:rFonts w:ascii="仿宋_GB2312" w:hAnsi="仿宋_GB2312" w:cs="仿宋_GB2312" w:eastAsia="仿宋_GB2312"/>
                <w:sz w:val="30"/>
              </w:rPr>
              <w:t>履行</w:t>
            </w:r>
            <w:r>
              <w:rPr>
                <w:rFonts w:ascii="仿宋_GB2312" w:hAnsi="仿宋_GB2312" w:cs="仿宋_GB2312" w:eastAsia="仿宋_GB2312"/>
                <w:sz w:val="30"/>
              </w:rPr>
              <w:t>“代表、服务、管理”职能</w:t>
            </w:r>
            <w:r>
              <w:rPr>
                <w:rFonts w:ascii="仿宋_GB2312" w:hAnsi="仿宋_GB2312" w:cs="仿宋_GB2312" w:eastAsia="仿宋_GB2312"/>
                <w:sz w:val="30"/>
              </w:rPr>
              <w:t>的</w:t>
            </w:r>
            <w:r>
              <w:rPr>
                <w:rFonts w:ascii="仿宋_GB2312" w:hAnsi="仿宋_GB2312" w:cs="仿宋_GB2312" w:eastAsia="仿宋_GB2312"/>
                <w:sz w:val="30"/>
              </w:rPr>
              <w:t>残联组织</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2、</w:t>
            </w:r>
            <w:r>
              <w:rPr>
                <w:rFonts w:ascii="仿宋_GB2312" w:hAnsi="仿宋_GB2312" w:cs="仿宋_GB2312" w:eastAsia="仿宋_GB2312"/>
                <w:sz w:val="30"/>
              </w:rPr>
              <w:t>承接主体是指</w:t>
            </w:r>
            <w:r>
              <w:rPr>
                <w:rFonts w:ascii="仿宋_GB2312" w:hAnsi="仿宋_GB2312" w:cs="仿宋_GB2312" w:eastAsia="仿宋_GB2312"/>
                <w:sz w:val="30"/>
              </w:rPr>
              <w:t>依法建立、合法运营，符合残疾人托养服务机构相关准入标准，经县级或县级以上残联确认开展残疾人托养服务的机构。</w:t>
            </w:r>
          </w:p>
          <w:p>
            <w:pPr>
              <w:pStyle w:val="null3"/>
              <w:ind w:firstLine="600"/>
              <w:jc w:val="both"/>
            </w:pPr>
            <w:r>
              <w:rPr>
                <w:rFonts w:ascii="仿宋_GB2312" w:hAnsi="仿宋_GB2312" w:cs="仿宋_GB2312" w:eastAsia="仿宋_GB2312"/>
                <w:sz w:val="30"/>
              </w:rPr>
              <w:t>机构承接的托养服务类型应符合中国残联《就业年龄段智力、精神及重度肢体残疾人托养服务规范》（</w:t>
            </w:r>
            <w:r>
              <w:rPr>
                <w:rFonts w:ascii="仿宋_GB2312" w:hAnsi="仿宋_GB2312" w:cs="仿宋_GB2312" w:eastAsia="仿宋_GB2312"/>
                <w:sz w:val="30"/>
              </w:rPr>
              <w:t>GB/T 37516—2019</w:t>
            </w:r>
            <w:r>
              <w:rPr>
                <w:rFonts w:ascii="仿宋_GB2312" w:hAnsi="仿宋_GB2312" w:cs="仿宋_GB2312" w:eastAsia="仿宋_GB2312"/>
                <w:sz w:val="30"/>
              </w:rPr>
              <w:t>）以及《政府购买残疾人托养服务技术标准与规范（试行）》有关规定。</w:t>
            </w:r>
          </w:p>
          <w:p>
            <w:pPr>
              <w:pStyle w:val="null3"/>
              <w:ind w:firstLine="600"/>
              <w:jc w:val="both"/>
            </w:pPr>
            <w:r>
              <w:rPr>
                <w:rFonts w:ascii="仿宋_GB2312" w:hAnsi="仿宋_GB2312" w:cs="仿宋_GB2312" w:eastAsia="仿宋_GB2312"/>
                <w:sz w:val="30"/>
              </w:rPr>
              <w:t>3、</w:t>
            </w:r>
            <w:r>
              <w:rPr>
                <w:rFonts w:ascii="仿宋_GB2312" w:hAnsi="仿宋_GB2312" w:cs="仿宋_GB2312" w:eastAsia="仿宋_GB2312"/>
                <w:sz w:val="30"/>
              </w:rPr>
              <w:t>购买标准</w:t>
            </w:r>
          </w:p>
          <w:p>
            <w:pPr>
              <w:pStyle w:val="null3"/>
              <w:ind w:firstLine="600"/>
              <w:jc w:val="both"/>
            </w:pPr>
            <w:r>
              <w:rPr>
                <w:rFonts w:ascii="仿宋_GB2312" w:hAnsi="仿宋_GB2312" w:cs="仿宋_GB2312" w:eastAsia="仿宋_GB2312"/>
                <w:sz w:val="30"/>
              </w:rPr>
              <w:t>寄宿制</w:t>
            </w:r>
            <w:r>
              <w:rPr>
                <w:rFonts w:ascii="仿宋_GB2312" w:hAnsi="仿宋_GB2312" w:cs="仿宋_GB2312" w:eastAsia="仿宋_GB2312"/>
                <w:sz w:val="30"/>
              </w:rPr>
              <w:t>托养服务</w:t>
            </w:r>
            <w:r>
              <w:rPr>
                <w:rFonts w:ascii="仿宋_GB2312" w:hAnsi="仿宋_GB2312" w:cs="仿宋_GB2312" w:eastAsia="仿宋_GB2312"/>
                <w:sz w:val="30"/>
              </w:rPr>
              <w:t>75人次</w:t>
            </w:r>
            <w:r>
              <w:rPr>
                <w:rFonts w:ascii="仿宋_GB2312" w:hAnsi="仿宋_GB2312" w:cs="仿宋_GB2312" w:eastAsia="仿宋_GB2312"/>
                <w:sz w:val="30"/>
              </w:rPr>
              <w:t>，每服务</w:t>
            </w:r>
            <w:r>
              <w:rPr>
                <w:rFonts w:ascii="仿宋_GB2312" w:hAnsi="仿宋_GB2312" w:cs="仿宋_GB2312" w:eastAsia="仿宋_GB2312"/>
                <w:sz w:val="30"/>
              </w:rPr>
              <w:t>3个月为1人次。</w:t>
            </w:r>
            <w:r>
              <w:rPr>
                <w:rFonts w:ascii="仿宋_GB2312" w:hAnsi="仿宋_GB2312" w:cs="仿宋_GB2312" w:eastAsia="仿宋_GB2312"/>
                <w:sz w:val="30"/>
              </w:rPr>
              <w:t>居家托养服务</w:t>
            </w:r>
            <w:r>
              <w:rPr>
                <w:rFonts w:ascii="仿宋_GB2312" w:hAnsi="仿宋_GB2312" w:cs="仿宋_GB2312" w:eastAsia="仿宋_GB2312"/>
                <w:sz w:val="30"/>
              </w:rPr>
              <w:t>132人次，</w:t>
            </w:r>
            <w:r>
              <w:rPr>
                <w:rFonts w:ascii="仿宋_GB2312" w:hAnsi="仿宋_GB2312" w:cs="仿宋_GB2312" w:eastAsia="仿宋_GB2312"/>
                <w:sz w:val="30"/>
              </w:rPr>
              <w:t>入户服务</w:t>
            </w:r>
            <w:r>
              <w:rPr>
                <w:rFonts w:ascii="仿宋_GB2312" w:hAnsi="仿宋_GB2312" w:cs="仿宋_GB2312" w:eastAsia="仿宋_GB2312"/>
                <w:sz w:val="30"/>
              </w:rPr>
              <w:t>22</w:t>
            </w:r>
            <w:r>
              <w:rPr>
                <w:rFonts w:ascii="仿宋_GB2312" w:hAnsi="仿宋_GB2312" w:cs="仿宋_GB2312" w:eastAsia="仿宋_GB2312"/>
                <w:sz w:val="30"/>
              </w:rPr>
              <w:t>次</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4、</w:t>
            </w:r>
            <w:r>
              <w:rPr>
                <w:rFonts w:ascii="仿宋_GB2312" w:hAnsi="仿宋_GB2312" w:cs="仿宋_GB2312" w:eastAsia="仿宋_GB2312"/>
                <w:sz w:val="30"/>
              </w:rPr>
              <w:t>购买内容</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1.生活照料和护理；2.生活自理能力训练；3.社会适应能力辅导；4.职业康复和劳动技能训练；5.运动功能训练。</w:t>
            </w:r>
          </w:p>
          <w:p>
            <w:pPr>
              <w:pStyle w:val="null3"/>
              <w:ind w:firstLine="600"/>
              <w:jc w:val="both"/>
            </w:pPr>
            <w:r>
              <w:rPr>
                <w:rFonts w:ascii="仿宋_GB2312" w:hAnsi="仿宋_GB2312" w:cs="仿宋_GB2312" w:eastAsia="仿宋_GB2312"/>
                <w:sz w:val="30"/>
              </w:rPr>
              <w:t>5、</w:t>
            </w:r>
            <w:r>
              <w:rPr>
                <w:rFonts w:ascii="仿宋_GB2312" w:hAnsi="仿宋_GB2312" w:cs="仿宋_GB2312" w:eastAsia="仿宋_GB2312"/>
                <w:sz w:val="30"/>
              </w:rPr>
              <w:t>工作程序</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1</w:t>
            </w:r>
            <w:r>
              <w:rPr>
                <w:rFonts w:ascii="仿宋_GB2312" w:hAnsi="仿宋_GB2312" w:cs="仿宋_GB2312" w:eastAsia="仿宋_GB2312"/>
                <w:sz w:val="30"/>
              </w:rPr>
              <w:t>）</w:t>
            </w:r>
            <w:r>
              <w:rPr>
                <w:rFonts w:ascii="仿宋_GB2312" w:hAnsi="仿宋_GB2312" w:cs="仿宋_GB2312" w:eastAsia="仿宋_GB2312"/>
                <w:sz w:val="30"/>
              </w:rPr>
              <w:t>、摸清底数开展评估。</w:t>
            </w:r>
            <w:r>
              <w:rPr>
                <w:rFonts w:ascii="仿宋_GB2312" w:hAnsi="仿宋_GB2312" w:cs="仿宋_GB2312" w:eastAsia="仿宋_GB2312"/>
                <w:sz w:val="30"/>
              </w:rPr>
              <w:t>薛录镇、马连镇、大杨镇、姜村镇、梁村镇、王村镇</w:t>
            </w:r>
            <w:r>
              <w:rPr>
                <w:rFonts w:ascii="仿宋_GB2312" w:hAnsi="仿宋_GB2312" w:cs="仿宋_GB2312" w:eastAsia="仿宋_GB2312"/>
                <w:sz w:val="30"/>
              </w:rPr>
              <w:t>残联要结合残疾人基本服务状况和需求信息数据动态更新有关数据，切实摸清残疾人托养服务需求情况</w:t>
            </w:r>
            <w:r>
              <w:rPr>
                <w:rFonts w:ascii="仿宋_GB2312" w:hAnsi="仿宋_GB2312" w:cs="仿宋_GB2312" w:eastAsia="仿宋_GB2312"/>
                <w:sz w:val="30"/>
              </w:rPr>
              <w:t>，</w:t>
            </w:r>
            <w:r>
              <w:rPr>
                <w:rFonts w:ascii="仿宋_GB2312" w:hAnsi="仿宋_GB2312" w:cs="仿宋_GB2312" w:eastAsia="仿宋_GB2312"/>
                <w:sz w:val="30"/>
              </w:rPr>
              <w:t>上报有托养需求的残疾人。</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2</w:t>
            </w:r>
            <w:r>
              <w:rPr>
                <w:rFonts w:ascii="仿宋_GB2312" w:hAnsi="仿宋_GB2312" w:cs="仿宋_GB2312" w:eastAsia="仿宋_GB2312"/>
                <w:sz w:val="30"/>
              </w:rPr>
              <w:t>）</w:t>
            </w:r>
            <w:r>
              <w:rPr>
                <w:rFonts w:ascii="仿宋_GB2312" w:hAnsi="仿宋_GB2312" w:cs="仿宋_GB2312" w:eastAsia="仿宋_GB2312"/>
                <w:sz w:val="30"/>
              </w:rPr>
              <w:t>、组织实施采购并签订服务合同。开展</w:t>
            </w:r>
            <w:r>
              <w:rPr>
                <w:rFonts w:ascii="仿宋_GB2312" w:hAnsi="仿宋_GB2312" w:cs="仿宋_GB2312" w:eastAsia="仿宋_GB2312"/>
                <w:sz w:val="30"/>
              </w:rPr>
              <w:t>招标</w:t>
            </w:r>
            <w:r>
              <w:rPr>
                <w:rFonts w:ascii="仿宋_GB2312" w:hAnsi="仿宋_GB2312" w:cs="仿宋_GB2312" w:eastAsia="仿宋_GB2312"/>
                <w:sz w:val="30"/>
              </w:rPr>
              <w:t>采购方式选定承接机构。明确服务内容、数量、金额、质量、服务期限、资金支付方式、监督检查方法等条款。合同样本及合同内容可参照中国残联《政府购买残疾人服务技术标准与规范（试行）》中有关服务合同示范文本的有关规定。</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3</w:t>
            </w:r>
            <w:r>
              <w:rPr>
                <w:rFonts w:ascii="仿宋_GB2312" w:hAnsi="仿宋_GB2312" w:cs="仿宋_GB2312" w:eastAsia="仿宋_GB2312"/>
                <w:sz w:val="30"/>
              </w:rPr>
              <w:t>）</w:t>
            </w:r>
            <w:r>
              <w:rPr>
                <w:rFonts w:ascii="仿宋_GB2312" w:hAnsi="仿宋_GB2312" w:cs="仿宋_GB2312" w:eastAsia="仿宋_GB2312"/>
                <w:sz w:val="30"/>
              </w:rPr>
              <w:t>、履约管理。</w:t>
            </w:r>
            <w:r>
              <w:rPr>
                <w:rFonts w:ascii="仿宋_GB2312" w:hAnsi="仿宋_GB2312" w:cs="仿宋_GB2312" w:eastAsia="仿宋_GB2312"/>
                <w:sz w:val="30"/>
              </w:rPr>
              <w:t>承接机构应该依据合同约定及《就业年龄段智力、精神及重度肢体残疾人托养服务规范》中关于托养服务的规范和服务标准、质量评价标准的规定，提供相应服务并进行自查。</w:t>
            </w:r>
          </w:p>
          <w:p>
            <w:pPr>
              <w:pStyle w:val="null3"/>
              <w:ind w:firstLine="600"/>
              <w:jc w:val="both"/>
            </w:pPr>
            <w:r>
              <w:rPr>
                <w:rFonts w:ascii="仿宋_GB2312" w:hAnsi="仿宋_GB2312" w:cs="仿宋_GB2312" w:eastAsia="仿宋_GB2312"/>
                <w:sz w:val="30"/>
              </w:rPr>
              <w:t>四、工作要求</w:t>
            </w:r>
          </w:p>
          <w:p>
            <w:pPr>
              <w:pStyle w:val="null3"/>
              <w:ind w:firstLine="600"/>
              <w:jc w:val="both"/>
            </w:pPr>
            <w:r>
              <w:rPr>
                <w:rFonts w:ascii="仿宋_GB2312" w:hAnsi="仿宋_GB2312" w:cs="仿宋_GB2312" w:eastAsia="仿宋_GB2312"/>
                <w:sz w:val="30"/>
              </w:rPr>
              <w:t>（一）健全工作机制。</w:t>
            </w:r>
            <w:r>
              <w:rPr>
                <w:rFonts w:ascii="仿宋_GB2312" w:hAnsi="仿宋_GB2312" w:cs="仿宋_GB2312" w:eastAsia="仿宋_GB2312"/>
                <w:sz w:val="30"/>
              </w:rPr>
              <w:t>要按照政府主导、部门负责、社会参与、共同监督的要求有序开展工作。残联要充分发挥桥梁纽带作用，与民政、财政部门和各类残疾人</w:t>
            </w:r>
            <w:r>
              <w:rPr>
                <w:rFonts w:ascii="仿宋_GB2312" w:hAnsi="仿宋_GB2312" w:cs="仿宋_GB2312" w:eastAsia="仿宋_GB2312"/>
                <w:sz w:val="30"/>
              </w:rPr>
              <w:t>托养</w:t>
            </w:r>
            <w:r>
              <w:rPr>
                <w:rFonts w:ascii="仿宋_GB2312" w:hAnsi="仿宋_GB2312" w:cs="仿宋_GB2312" w:eastAsia="仿宋_GB2312"/>
                <w:sz w:val="30"/>
              </w:rPr>
              <w:t>服务机构加强沟通协调，支持并培育承接残疾人</w:t>
            </w:r>
            <w:r>
              <w:rPr>
                <w:rFonts w:ascii="仿宋_GB2312" w:hAnsi="仿宋_GB2312" w:cs="仿宋_GB2312" w:eastAsia="仿宋_GB2312"/>
                <w:sz w:val="30"/>
              </w:rPr>
              <w:t>托养</w:t>
            </w:r>
            <w:r>
              <w:rPr>
                <w:rFonts w:ascii="仿宋_GB2312" w:hAnsi="仿宋_GB2312" w:cs="仿宋_GB2312" w:eastAsia="仿宋_GB2312"/>
                <w:sz w:val="30"/>
              </w:rPr>
              <w:t>服务的社会力量发展壮大。</w:t>
            </w:r>
          </w:p>
          <w:p>
            <w:pPr>
              <w:pStyle w:val="null3"/>
              <w:ind w:firstLine="600"/>
              <w:jc w:val="both"/>
            </w:pPr>
            <w:r>
              <w:rPr>
                <w:rFonts w:ascii="仿宋_GB2312" w:hAnsi="仿宋_GB2312" w:cs="仿宋_GB2312" w:eastAsia="仿宋_GB2312"/>
                <w:sz w:val="30"/>
              </w:rPr>
              <w:t>（二）严格监督管理。</w:t>
            </w:r>
            <w:r>
              <w:rPr>
                <w:rFonts w:ascii="仿宋_GB2312" w:hAnsi="仿宋_GB2312" w:cs="仿宋_GB2312" w:eastAsia="仿宋_GB2312"/>
                <w:sz w:val="30"/>
              </w:rPr>
              <w:t>要严格遵守相关财政财务管理规定，确保项目资金规范管理和及时使用，不得挪用、留滞。要按年度开展检查评估，督促落实情况。确保承接机构符合各项准入标准，对服务过程和服务质量进行监督和评估。</w:t>
            </w:r>
          </w:p>
          <w:tbl>
            <w:tblPr>
              <w:tblInd w:type="dxa" w:w="405"/>
              <w:tblBorders>
                <w:top w:val="none" w:color="000000" w:sz="4"/>
                <w:left w:val="none" w:color="000000" w:sz="4"/>
                <w:bottom w:val="none" w:color="000000" w:sz="4"/>
                <w:right w:val="none" w:color="000000" w:sz="4"/>
                <w:insideH w:val="none"/>
                <w:insideV w:val="none"/>
              </w:tblBorders>
            </w:tblPr>
            <w:tblGrid>
              <w:gridCol w:w="384"/>
              <w:gridCol w:w="690"/>
              <w:gridCol w:w="1001"/>
              <w:gridCol w:w="478"/>
            </w:tblGrid>
            <w:tr>
              <w:tc>
                <w:tcPr>
                  <w:tcW w:type="dxa" w:w="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序号</w:t>
                  </w:r>
                </w:p>
              </w:tc>
              <w:tc>
                <w:tcPr>
                  <w:tcW w:type="dxa" w:w="6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80"/>
                    <w:jc w:val="both"/>
                  </w:pPr>
                  <w:r>
                    <w:rPr>
                      <w:rFonts w:ascii="仿宋_GB2312" w:hAnsi="仿宋_GB2312" w:cs="仿宋_GB2312" w:eastAsia="仿宋_GB2312"/>
                      <w:sz w:val="28"/>
                    </w:rPr>
                    <w:t>镇</w:t>
                  </w:r>
                  <w:r>
                    <w:rPr>
                      <w:rFonts w:ascii="仿宋_GB2312" w:hAnsi="仿宋_GB2312" w:cs="仿宋_GB2312" w:eastAsia="仿宋_GB2312"/>
                      <w:sz w:val="28"/>
                    </w:rPr>
                    <w:t xml:space="preserve">  </w:t>
                  </w:r>
                  <w:r>
                    <w:rPr>
                      <w:rFonts w:ascii="仿宋_GB2312" w:hAnsi="仿宋_GB2312" w:cs="仿宋_GB2312" w:eastAsia="仿宋_GB2312"/>
                      <w:sz w:val="28"/>
                    </w:rPr>
                    <w:t>办</w:t>
                  </w:r>
                </w:p>
              </w:tc>
              <w:tc>
                <w:tcPr>
                  <w:tcW w:type="dxa" w:w="10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80"/>
                    <w:jc w:val="both"/>
                  </w:pPr>
                  <w:r>
                    <w:rPr>
                      <w:rFonts w:ascii="仿宋_GB2312" w:hAnsi="仿宋_GB2312" w:cs="仿宋_GB2312" w:eastAsia="仿宋_GB2312"/>
                      <w:sz w:val="28"/>
                    </w:rPr>
                    <w:t>残疾人托养人数</w:t>
                  </w:r>
                </w:p>
              </w:tc>
              <w:tc>
                <w:tcPr>
                  <w:tcW w:type="dxa" w:w="4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80"/>
                    <w:jc w:val="both"/>
                  </w:pPr>
                  <w:r>
                    <w:rPr>
                      <w:rFonts w:ascii="仿宋_GB2312" w:hAnsi="仿宋_GB2312" w:cs="仿宋_GB2312" w:eastAsia="仿宋_GB2312"/>
                      <w:sz w:val="28"/>
                    </w:rPr>
                    <w:t>备注</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w:t>
                  </w:r>
                </w:p>
              </w:tc>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大杨镇</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22</w:t>
                  </w:r>
                  <w:r>
                    <w:rPr>
                      <w:rFonts w:ascii="仿宋_GB2312" w:hAnsi="仿宋_GB2312" w:cs="仿宋_GB2312" w:eastAsia="仿宋_GB2312"/>
                      <w:sz w:val="28"/>
                    </w:rPr>
                    <w:t>人</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2</w:t>
                  </w:r>
                </w:p>
              </w:tc>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薛录镇</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22</w:t>
                  </w:r>
                  <w:r>
                    <w:rPr>
                      <w:rFonts w:ascii="仿宋_GB2312" w:hAnsi="仿宋_GB2312" w:cs="仿宋_GB2312" w:eastAsia="仿宋_GB2312"/>
                      <w:sz w:val="28"/>
                    </w:rPr>
                    <w:t>人</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3</w:t>
                  </w:r>
                </w:p>
              </w:tc>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马连镇</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22</w:t>
                  </w:r>
                  <w:r>
                    <w:rPr>
                      <w:rFonts w:ascii="仿宋_GB2312" w:hAnsi="仿宋_GB2312" w:cs="仿宋_GB2312" w:eastAsia="仿宋_GB2312"/>
                      <w:sz w:val="28"/>
                    </w:rPr>
                    <w:t>人</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4</w:t>
                  </w:r>
                </w:p>
              </w:tc>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姜村镇</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22</w:t>
                  </w:r>
                  <w:r>
                    <w:rPr>
                      <w:rFonts w:ascii="仿宋_GB2312" w:hAnsi="仿宋_GB2312" w:cs="仿宋_GB2312" w:eastAsia="仿宋_GB2312"/>
                      <w:sz w:val="28"/>
                    </w:rPr>
                    <w:t>人</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5</w:t>
                  </w:r>
                </w:p>
              </w:tc>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王村镇</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22</w:t>
                  </w:r>
                  <w:r>
                    <w:rPr>
                      <w:rFonts w:ascii="仿宋_GB2312" w:hAnsi="仿宋_GB2312" w:cs="仿宋_GB2312" w:eastAsia="仿宋_GB2312"/>
                      <w:sz w:val="28"/>
                    </w:rPr>
                    <w:t>人</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6</w:t>
                  </w:r>
                </w:p>
              </w:tc>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梁村镇</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22</w:t>
                  </w:r>
                  <w:r>
                    <w:rPr>
                      <w:rFonts w:ascii="仿宋_GB2312" w:hAnsi="仿宋_GB2312" w:cs="仿宋_GB2312" w:eastAsia="仿宋_GB2312"/>
                      <w:sz w:val="28"/>
                    </w:rPr>
                    <w:t>人</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7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合计</w:t>
                  </w:r>
                </w:p>
              </w:tc>
              <w:tc>
                <w:tcPr>
                  <w:tcW w:type="dxa" w:w="147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132</w:t>
                  </w:r>
                  <w:r>
                    <w:rPr>
                      <w:rFonts w:ascii="仿宋_GB2312" w:hAnsi="仿宋_GB2312" w:cs="仿宋_GB2312" w:eastAsia="仿宋_GB2312"/>
                      <w:sz w:val="28"/>
                    </w:rPr>
                    <w:t>人</w:t>
                  </w:r>
                </w:p>
              </w:tc>
            </w:tr>
          </w:tbl>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根据项目要求配备。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根据项目要求配备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7个月内完成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寄宿服务中标机构提供的场所；居家在姜村、梁村镇、王村镇、马连镇、薛录镇及大杨镇</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入户核查，残疾人满意度达到95%。</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合同签订并开始实施，甲方支付乙方服务费总额的50%，项目中期甲方对乙方服务质量进行评估合格后，支付服务费总额的45%，服务结束验收合格后，支付剩余5%的服务费。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联合检查组对服务过程和服务质量进行监督和评估，评估不合格的机构，不得承接下一年度购买任务。</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供应商需在项目电子化交易系统中按要求上传公司内部财务会计制度并进行电子签章。</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提供2025年度完整的财务审计报告或开标时间前三个月内基本账户银行出具的资信证明；</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采购活动前6个月内任意一月的缴纳纳税证明或完税证明，纳税证明或完税证明上应有代收机构或税务机关的公章或业务专用章。依法免税的供应商应提供相关文件证明；成立时间至提交投标文件截止时间不足一年的，可提供成立后本年度任意时段税收缴纳证明；</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采购活动前6个月内任意一月的社会保障资金缴存单据或社保机构开具的社会保险参保缴费情况证明。依法不需要缴纳社会保障资金的供应商应提供相关文件证明；成立时间至提交投标文件截止时间不足一年的，可提供成立后本年度任意时段社保缴纳证明；</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参加本次政府采购活动前3年内在经营活动中没有重大违纪的书面声明；</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法人身份证明或法定代表人授权书</w:t>
            </w:r>
          </w:p>
        </w:tc>
        <w:tc>
          <w:tcPr>
            <w:tcW w:type="dxa" w:w="3322"/>
          </w:tcPr>
          <w:p>
            <w:pPr>
              <w:pStyle w:val="null3"/>
            </w:pPr>
            <w:r>
              <w:rPr>
                <w:rFonts w:ascii="仿宋_GB2312" w:hAnsi="仿宋_GB2312" w:cs="仿宋_GB2312" w:eastAsia="仿宋_GB2312"/>
              </w:rPr>
              <w:t>法定代表人直接参加投标的，须出具法人身份证明（含法人身份证原件、复印件及近6个月内任意一月社保参保证明）；法定代表人授权代表参加投标的，须出具法定代表人授权书（含法人、被授权人身份证复印件）、被授权人身份证原件及近6个月内任意一月社保参保证明；</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信用中国及中国政府采购网失信行为纪录查询</w:t>
            </w:r>
          </w:p>
        </w:tc>
        <w:tc>
          <w:tcPr>
            <w:tcW w:type="dxa" w:w="3322"/>
          </w:tcPr>
          <w:p>
            <w:pPr>
              <w:pStyle w:val="null3"/>
            </w:pPr>
            <w:r>
              <w:rPr>
                <w:rFonts w:ascii="仿宋_GB2312" w:hAnsi="仿宋_GB2312" w:cs="仿宋_GB2312" w:eastAsia="仿宋_GB2312"/>
              </w:rPr>
              <w:t>投标人提供在“信用中国”网站（www.creditchina.gov.cn）、中国政府采购网（www.ccgp.gov.cn）查询的截图。查询范围供应商“不得为被列入“信用中国”网站失信被执行人、重大税收违法案件当事人和中国政府采购网政府采购严重违法失信行为记录查询”；</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本项目要求独立法人，不接受联合体投标。</w:t>
            </w:r>
          </w:p>
        </w:tc>
        <w:tc>
          <w:tcPr>
            <w:tcW w:type="dxa" w:w="1661"/>
          </w:tcPr>
          <w:p>
            <w:pPr>
              <w:pStyle w:val="null3"/>
            </w:pPr>
            <w:r>
              <w:rPr>
                <w:rFonts w:ascii="仿宋_GB2312" w:hAnsi="仿宋_GB2312" w:cs="仿宋_GB2312" w:eastAsia="仿宋_GB2312"/>
              </w:rPr>
              <w:t>投标人应提供的相应资质证明材料.docx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 xml:space="preserve"> 除明确允许供应商可以自行编写的外，磋商响应文件应按照磋商文件给定的格式编制。</w:t>
            </w:r>
          </w:p>
        </w:tc>
        <w:tc>
          <w:tcPr>
            <w:tcW w:type="dxa" w:w="1661"/>
          </w:tcPr>
          <w:p>
            <w:pPr>
              <w:pStyle w:val="null3"/>
            </w:pPr>
            <w:r>
              <w:rPr>
                <w:rFonts w:ascii="仿宋_GB2312" w:hAnsi="仿宋_GB2312" w:cs="仿宋_GB2312" w:eastAsia="仿宋_GB2312"/>
              </w:rPr>
              <w:t>服务分项报价表.docx 服务内容及服务邀请应答表 投标人应提供的相应资质证明材料.docx 中小企业声明函 商务应答表 报价表 法定代表人证明书与授权委托书..docx 响应文件封面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供应商名称应与获取磋商文件的单位名称一致。</w:t>
            </w:r>
          </w:p>
        </w:tc>
        <w:tc>
          <w:tcPr>
            <w:tcW w:type="dxa" w:w="1661"/>
          </w:tcPr>
          <w:p>
            <w:pPr>
              <w:pStyle w:val="null3"/>
            </w:pPr>
            <w:r>
              <w:rPr>
                <w:rFonts w:ascii="仿宋_GB2312" w:hAnsi="仿宋_GB2312" w:cs="仿宋_GB2312" w:eastAsia="仿宋_GB2312"/>
              </w:rPr>
              <w:t>服务分项报价表.docx 服务内容及服务邀请应答表 投标人应提供的相应资质证明材料.docx 中小企业声明函 商务应答表 报价表 法定代表人证明书与授权委托书..docx 响应文件封面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磋商响应文件应按照磋商文件的要求盖章签字。</w:t>
            </w:r>
          </w:p>
        </w:tc>
        <w:tc>
          <w:tcPr>
            <w:tcW w:type="dxa" w:w="1661"/>
          </w:tcPr>
          <w:p>
            <w:pPr>
              <w:pStyle w:val="null3"/>
            </w:pPr>
            <w:r>
              <w:rPr>
                <w:rFonts w:ascii="仿宋_GB2312" w:hAnsi="仿宋_GB2312" w:cs="仿宋_GB2312" w:eastAsia="仿宋_GB2312"/>
              </w:rPr>
              <w:t>服务分项报价表.docx 服务内容及服务邀请应答表 投标人应提供的相应资质证明材料.docx 中小企业声明函 商务应答表 报价表 法定代表人证明书与授权委托书..docx 响应文件封面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磋商有效期应符合磋商文件的要求。</w:t>
            </w:r>
          </w:p>
        </w:tc>
        <w:tc>
          <w:tcPr>
            <w:tcW w:type="dxa" w:w="1661"/>
          </w:tcPr>
          <w:p>
            <w:pPr>
              <w:pStyle w:val="null3"/>
            </w:pPr>
            <w:r>
              <w:rPr>
                <w:rFonts w:ascii="仿宋_GB2312" w:hAnsi="仿宋_GB2312" w:cs="仿宋_GB2312" w:eastAsia="仿宋_GB2312"/>
              </w:rPr>
              <w:t>服务分项报价表.docx 服务内容及服务邀请应答表 投标人应提供的相应资质证明材料.docx 中小企业声明函 商务应答表 报价表 法定代表人证明书与授权委托书..docx 响应文件封面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对磋商文件商务要求作了明确且实质性响应</w:t>
            </w:r>
          </w:p>
        </w:tc>
        <w:tc>
          <w:tcPr>
            <w:tcW w:type="dxa" w:w="1661"/>
          </w:tcPr>
          <w:p>
            <w:pPr>
              <w:pStyle w:val="null3"/>
            </w:pPr>
            <w:r>
              <w:rPr>
                <w:rFonts w:ascii="仿宋_GB2312" w:hAnsi="仿宋_GB2312" w:cs="仿宋_GB2312" w:eastAsia="仿宋_GB2312"/>
              </w:rPr>
              <w:t>服务分项报价表.docx 服务内容及服务邀请应答表 投标人应提供的相应资质证明材料.docx 中小企业声明函 商务应答表 报价表 法定代表人证明书与授权委托书..docx 响应文件封面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技术要求响应</w:t>
            </w:r>
          </w:p>
        </w:tc>
        <w:tc>
          <w:tcPr>
            <w:tcW w:type="dxa" w:w="3322"/>
          </w:tcPr>
          <w:p>
            <w:pPr>
              <w:pStyle w:val="null3"/>
            </w:pPr>
            <w:r>
              <w:rPr>
                <w:rFonts w:ascii="仿宋_GB2312" w:hAnsi="仿宋_GB2312" w:cs="仿宋_GB2312" w:eastAsia="仿宋_GB2312"/>
              </w:rPr>
              <w:t>对磋商文件技术要求作了明确且实质性响应；</w:t>
            </w:r>
          </w:p>
        </w:tc>
        <w:tc>
          <w:tcPr>
            <w:tcW w:type="dxa" w:w="1661"/>
          </w:tcPr>
          <w:p>
            <w:pPr>
              <w:pStyle w:val="null3"/>
            </w:pPr>
            <w:r>
              <w:rPr>
                <w:rFonts w:ascii="仿宋_GB2312" w:hAnsi="仿宋_GB2312" w:cs="仿宋_GB2312" w:eastAsia="仿宋_GB2312"/>
              </w:rPr>
              <w:t>服务分项报价表.docx 服务内容及服务邀请应答表 投标人应提供的相应资质证明材料.docx 中小企业声明函 商务应答表 报价表 法定代表人证明书与授权委托书..docx 响应文件封面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服务内容</w:t>
            </w:r>
          </w:p>
        </w:tc>
        <w:tc>
          <w:tcPr>
            <w:tcW w:type="dxa" w:w="2492"/>
          </w:tcPr>
          <w:p>
            <w:pPr>
              <w:pStyle w:val="null3"/>
            </w:pPr>
            <w:r>
              <w:rPr>
                <w:rFonts w:ascii="仿宋_GB2312" w:hAnsi="仿宋_GB2312" w:cs="仿宋_GB2312" w:eastAsia="仿宋_GB2312"/>
              </w:rPr>
              <w:t>一、根据供应商针对本项目的服务方案进行综合评审。包括以下内容：①服务总体规划；②生活照料和护理③生活自理能力训练④社会适应能力辅导和运动功能训练⑤职业康复与劳动技能训练。 对以上5项内容分别进行评审。 二、评审标准： 1、完整性：方案必须全面，对评审内容中的各项要求有详细描述； 2、可实施性：切合本项目实际情况，提出步骤清晰、合理的方案； 3、针对性：方案能够紧扣项目实际情况，内容科学合理。 三、赋分标准（满分30分）①服务总体规划：每满足一个评审标准得2分，满分6分；②生活照料和护理：每满足一个评审标准得2分，满分6分； ③生活自理能力训练：每满足一个评审标准得2分，满分6分，④社会适应能力辅导和运动功能训练；每满足一个评审标准得2分，满分6分；⑤职业康复与劳动技能训练：每满足一个评审标准得2分，满分6分。 方案缺项或与项目实质性内容不符得0分。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机构管理制度</w:t>
            </w:r>
          </w:p>
        </w:tc>
        <w:tc>
          <w:tcPr>
            <w:tcW w:type="dxa" w:w="2492"/>
          </w:tcPr>
          <w:p>
            <w:pPr>
              <w:pStyle w:val="null3"/>
            </w:pPr>
            <w:r>
              <w:rPr>
                <w:rFonts w:ascii="仿宋_GB2312" w:hAnsi="仿宋_GB2312" w:cs="仿宋_GB2312" w:eastAsia="仿宋_GB2312"/>
              </w:rPr>
              <w:t>一、评审内容 针对供应商的管理制度进行评审，评审内容包括：①财务管理制度②档案管理制度③卫生管理制度 ④设施与安全管理制度 ⑤出入机构管理制度⑥人员制度。 二、评审标准 1、完整性：方案必须全面，对评审内容中的各项要求有详细描述； 2、可实施性：切合本项目实际情况，提出步骤清晰、合理的方案； 3、针对性：方案能够紧扣项目实际情况，内容科学合理。 三、赋分标准（满分18分）①财务管理制度；每完全满足一个评审标准得1分，满分3分；②档案管理制度：每完全满足一个评审标准得1分，满分3分； ③卫生管理制度：每完全满足一个评审标准得1分，满分3分； ④设施与安全管理制度：每完全满足一个评审标准得1分，满分3分； ⑤出入机构管理制度：每完全满足一个评审标准得1分，满分3分；⑥人员制度：每完全满足一个评审标准得1分，满分3分；制度缺项或与项目实质性内容不符得0分。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一、根据供应商针对本项目提供的项目组织机构进行综合评审。包括以下内容：①明确机构组织架构（需包含项目总负责人、医疗安全管理组、后勤保障组等核心部门）；②各部门职责分工、人员配置明细，内容覆盖组织管理全流程。 二、评审标准： 1、完整性：方案必须全面，对评审内容中的各项要求有详细描述； 2、可实施性：切合本项目实际情况，提出步骤清晰、合理的方案； 3、针对性：方案能够紧扣项目实际情况，内容科学合理。 三、赋分标准（满分6分）①明确机构组织架构；每满足一个评审标准得1分，满分3分；②各部门职责分工、人员配置明细，内容覆盖组织管理全流程：每满足一个评审标准得1分，满分3分； 方案缺项或与项目实质性内容不符得0分。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专业团队配置</w:t>
            </w:r>
          </w:p>
        </w:tc>
        <w:tc>
          <w:tcPr>
            <w:tcW w:type="dxa" w:w="2492"/>
          </w:tcPr>
          <w:p>
            <w:pPr>
              <w:pStyle w:val="null3"/>
            </w:pPr>
            <w:r>
              <w:rPr>
                <w:rFonts w:ascii="仿宋_GB2312" w:hAnsi="仿宋_GB2312" w:cs="仿宋_GB2312" w:eastAsia="仿宋_GB2312"/>
              </w:rPr>
              <w:t>根据供应商针对本项目提供的专业团队构成（包括但不限于医生、护理员、康复师、社工、安保人员等）进行综合评审。1、团队构成合理，人员经验丰富，团队配置数量满足服务需求（按托养人数 1:10 比例配备）、证书齐全计12分；2、配置数量不足或持证率低于 80%，计8分；3、配置数量不足或持证率低于 50%，计4分。未提供不得分。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突发事件应急处理方案</w:t>
            </w:r>
          </w:p>
        </w:tc>
        <w:tc>
          <w:tcPr>
            <w:tcW w:type="dxa" w:w="2492"/>
          </w:tcPr>
          <w:p>
            <w:pPr>
              <w:pStyle w:val="null3"/>
            </w:pPr>
            <w:r>
              <w:rPr>
                <w:rFonts w:ascii="仿宋_GB2312" w:hAnsi="仿宋_GB2312" w:cs="仿宋_GB2312" w:eastAsia="仿宋_GB2312"/>
              </w:rPr>
              <w:t>一、根据供应商针对本项目应对突发事件的处理方案进行综合评审。包括以下内容：①针对本项目服务过程突发和临时事件的预计和应急处理能力（包括但不限于火灾、疫情、对象走失、突发疾病等）；②应急管理制度、应急管理物质及应急措施。对以上2项内容分别进行评审。 二、评审标准： 1、完整性：方案必须全面，对评审内容中的各项要求有详细描述； 2、可实施性：切合本项目实际情况，提出步骤清晰、合理的方案； 3、针对性：方案能够紧扣项目实际情况，内容科学合理。 三、赋分标准（满分6分）①针对本项目服务过程突发和临时事件的预计、应急处理能力；每满足一个评审标准得1分，满分3分；②应急管理制度及应急措施；：每满足一个评审标准得1分，满分3分。 方案缺项或与项目实质性内容不符得0分。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自 2022 年 1 月 1 日以来（以合同签订时间为准）类似项目业绩证明文件，评审时以响应文件中的扫描件加盖公章为计分依据，每出具一份业绩证明文件得2 分，满分8分； （注：供应商需提供合同关键页扫描件（至少应包含合同首页、合同金额所在页、签字盖章，并加盖公章）。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满足磋商文件要求且最终报价最低的供应商的价格为评审基准价，其价格分为满分。其他供应商的价格分统一按照下列公式计算：磋商报价得分=（评审基准价/最后磋商报价）×价格权值×100。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详见附件：投标人应提供的相应资质证明材料.docx</w:t>
      </w:r>
    </w:p>
    <w:p>
      <w:pPr>
        <w:pStyle w:val="null3"/>
        <w:ind w:firstLine="960"/>
      </w:pPr>
      <w:r>
        <w:rPr>
          <w:rFonts w:ascii="仿宋_GB2312" w:hAnsi="仿宋_GB2312" w:cs="仿宋_GB2312" w:eastAsia="仿宋_GB2312"/>
        </w:rPr>
        <w:t>详见附件：服务分项报价表.docx</w:t>
      </w:r>
    </w:p>
    <w:p>
      <w:pPr>
        <w:pStyle w:val="null3"/>
        <w:ind w:firstLine="960"/>
      </w:pPr>
      <w:r>
        <w:rPr>
          <w:rFonts w:ascii="仿宋_GB2312" w:hAnsi="仿宋_GB2312" w:cs="仿宋_GB2312" w:eastAsia="仿宋_GB2312"/>
        </w:rPr>
        <w:t>详见附件：法定代表人证明书与授权委托书..docx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详见附件：服务类合同模版(1).docx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