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F30C9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工程量清单编制说明</w:t>
      </w:r>
    </w:p>
    <w:p w14:paraId="5921ED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</w:pPr>
    </w:p>
    <w:p w14:paraId="3101D1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Times New Roman" w:hAnsi="Times New Roman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《陕西省建设工程费用规则》（2025）、《陕西省建设工程工程量清单计价费率》（2025）、《陕西省市政工程价目表》（2025）、《陕西省市政工程消耗量定额》（2025）、《陕西省房屋建筑与装饰工程基价表》</w:t>
      </w:r>
      <w:r>
        <w:rPr>
          <w:rFonts w:hint="eastAsia" w:ascii="Times New Roman" w:hAnsi="Times New Roman" w:eastAsia="仿宋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  <w:t>（2025）、《陕西省建筑工程消耗量定额》（2025）、《陕西省园林绿化工程基价表》（2025）、《陕西省园林绿化工程消耗量定额》（2025）、《陕西省通用安装工程基价表》（2025） 、《陕西省通用安装工程消耗量定额》（2025）、《陕西省建设工程施工机械台班费用定额》（2025）《陕西省建设工程施工仪器仪表台班费用定额》（2025）及有关配套的计价文件；</w:t>
      </w:r>
      <w:bookmarkStart w:id="0" w:name="_GoBack"/>
      <w:bookmarkEnd w:id="0"/>
    </w:p>
    <w:p w14:paraId="1DDE6024">
      <w:pPr>
        <w:jc w:val="both"/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D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2026-04-03T00:47:05Z</dcterms:created>
  <dc:creator>My</dc:creator>
  <cp:lastModifiedBy>曼陀罗花蜜</cp:lastModifiedBy>
  <dcterms:modified xsi:type="dcterms:W3CDTF">2026-04-03T00:51:35Z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eyJoZGlkIjoiNTA1OGY2MDZjMWJmZjc5ZmFkMjRmZmI1ZGQ5YjNhZTYiLCJ1c2VySWQiOiIzNTA0NzUyNDEifQ==</vt:lpwstr>
  </property>
  <property fmtid="{D5CDD505-2E9C-101B-9397-08002B2CF9AE}" pid="4" name="ICV">
    <vt:lpwstr>24A77081EF4941B08770014E50C6A43D_12</vt:lpwstr>
  </property>
</Properties>
</file>