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版本号：HXZB-2026-XY00520260414002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乾县西兰大街等路段绿化修剪项目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HXZB-2026-XY005</w:t>
      </w:r>
      <w:r>
        <w:br/>
      </w:r>
      <w:r>
        <w:br/>
      </w:r>
      <w:r>
        <w:br/>
      </w:r>
    </w:p>
    <w:p>
      <w:pPr>
        <w:pStyle w:val="null3"/>
        <w:jc w:val="center"/>
        <w:outlineLvl w:val="2"/>
      </w:pPr>
      <w:r>
        <w:rPr>
          <w:rFonts w:ascii="仿宋_GB2312" w:hAnsi="仿宋_GB2312" w:cs="仿宋_GB2312" w:eastAsia="仿宋_GB2312"/>
          <w:sz w:val="28"/>
          <w:b/>
        </w:rPr>
        <w:t>乾县五峰山国有生态林场</w:t>
      </w:r>
    </w:p>
    <w:p>
      <w:pPr>
        <w:pStyle w:val="null3"/>
        <w:jc w:val="center"/>
        <w:outlineLvl w:val="2"/>
      </w:pPr>
      <w:r>
        <w:rPr>
          <w:rFonts w:ascii="仿宋_GB2312" w:hAnsi="仿宋_GB2312" w:cs="仿宋_GB2312" w:eastAsia="仿宋_GB2312"/>
          <w:sz w:val="28"/>
          <w:b/>
        </w:rPr>
        <w:t>陕西华昕项目管理有限公司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陕西华昕项目管理有限公司</w:t>
      </w:r>
      <w:r>
        <w:rPr>
          <w:rFonts w:ascii="仿宋_GB2312" w:hAnsi="仿宋_GB2312" w:cs="仿宋_GB2312" w:eastAsia="仿宋_GB2312"/>
        </w:rPr>
        <w:t>（以下简称“代理机构”）受</w:t>
      </w:r>
      <w:r>
        <w:rPr>
          <w:rFonts w:ascii="仿宋_GB2312" w:hAnsi="仿宋_GB2312" w:cs="仿宋_GB2312" w:eastAsia="仿宋_GB2312"/>
        </w:rPr>
        <w:t>乾县五峰山国有生态林场</w:t>
      </w:r>
      <w:r>
        <w:rPr>
          <w:rFonts w:ascii="仿宋_GB2312" w:hAnsi="仿宋_GB2312" w:cs="仿宋_GB2312" w:eastAsia="仿宋_GB2312"/>
        </w:rPr>
        <w:t>委托，拟对</w:t>
      </w:r>
      <w:r>
        <w:rPr>
          <w:rFonts w:ascii="仿宋_GB2312" w:hAnsi="仿宋_GB2312" w:cs="仿宋_GB2312" w:eastAsia="仿宋_GB2312"/>
        </w:rPr>
        <w:t>乾县西兰大街等路段绿化修剪项目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HXZB-2026-XY005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乾县西兰大街等路段绿化修剪项目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对西兰大街，福银高速引线，靖庄路，南二环等路段乔木，灌木及绿篱进行修剪。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采购包1（乾县西兰大街等路段绿化修剪项目）：属于专门面向中小企业采购。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能力的企业法人、事业法人、其他组织或自然人：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pPr>
        <w:pStyle w:val="null3"/>
      </w:pPr>
      <w:r>
        <w:rPr>
          <w:rFonts w:ascii="仿宋_GB2312" w:hAnsi="仿宋_GB2312" w:cs="仿宋_GB2312" w:eastAsia="仿宋_GB2312"/>
        </w:rPr>
        <w:t>2、供应商应授权合法的人员参加投标：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和递交截止时间前六个月内任意一月已缴存的社会保障资金缴费证明或参保证明。</w:t>
      </w:r>
    </w:p>
    <w:p>
      <w:pPr>
        <w:pStyle w:val="null3"/>
      </w:pPr>
      <w:r>
        <w:rPr>
          <w:rFonts w:ascii="仿宋_GB2312" w:hAnsi="仿宋_GB2312" w:cs="仿宋_GB2312" w:eastAsia="仿宋_GB2312"/>
        </w:rPr>
        <w:t>3、供应商应提供健全的财务会计制度：供应商需提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p>
      <w:pPr>
        <w:pStyle w:val="null3"/>
      </w:pPr>
      <w:r>
        <w:rPr>
          <w:rFonts w:ascii="仿宋_GB2312" w:hAnsi="仿宋_GB2312" w:cs="仿宋_GB2312" w:eastAsia="仿宋_GB2312"/>
        </w:rPr>
        <w:t>4、税收缴纳证明：供应商提供响应文件递交截止时间前六个月内任意一月已缴纳的纳税证明或完税证明，依法免税的供应商应提供相关证明文件。</w:t>
      </w:r>
    </w:p>
    <w:p>
      <w:pPr>
        <w:pStyle w:val="null3"/>
      </w:pPr>
      <w:r>
        <w:rPr>
          <w:rFonts w:ascii="仿宋_GB2312" w:hAnsi="仿宋_GB2312" w:cs="仿宋_GB2312" w:eastAsia="仿宋_GB2312"/>
        </w:rPr>
        <w:t>5、社保缴纳证明：供应商提供响应文件递交截止时间前六个月内任意一月已缴存的社会保障资金缴费证明或参保证明，依法不需要缴纳社会保障资金的供应商应提供相关证明文件。</w:t>
      </w:r>
    </w:p>
    <w:p>
      <w:pPr>
        <w:pStyle w:val="null3"/>
      </w:pPr>
      <w:r>
        <w:rPr>
          <w:rFonts w:ascii="仿宋_GB2312" w:hAnsi="仿宋_GB2312" w:cs="仿宋_GB2312" w:eastAsia="仿宋_GB2312"/>
        </w:rPr>
        <w:t>6、拟派项目负责人资质条件：项目负责人具有园林绿化相关专业中级及以上职称，且无在建工程。</w:t>
      </w:r>
    </w:p>
    <w:p>
      <w:pPr>
        <w:pStyle w:val="null3"/>
      </w:pPr>
      <w:r>
        <w:rPr>
          <w:rFonts w:ascii="仿宋_GB2312" w:hAnsi="仿宋_GB2312" w:cs="仿宋_GB2312" w:eastAsia="仿宋_GB2312"/>
        </w:rPr>
        <w:t>7、无重大违法记录：参加政府采购活动前3年内，在经营活动中没有重大违法记录的书面声明。</w:t>
      </w:r>
    </w:p>
    <w:p>
      <w:pPr>
        <w:pStyle w:val="null3"/>
      </w:pPr>
      <w:r>
        <w:rPr>
          <w:rFonts w:ascii="仿宋_GB2312" w:hAnsi="仿宋_GB2312" w:cs="仿宋_GB2312" w:eastAsia="仿宋_GB2312"/>
        </w:rPr>
        <w:t>8、具有履行合同所必需的设备和专业技术能力：供应商应具有履行合同所必需的设备和专业技术能力，提供承诺书。</w:t>
      </w:r>
    </w:p>
    <w:p>
      <w:pPr>
        <w:pStyle w:val="null3"/>
      </w:pPr>
      <w:r>
        <w:rPr>
          <w:rFonts w:ascii="仿宋_GB2312" w:hAnsi="仿宋_GB2312" w:cs="仿宋_GB2312" w:eastAsia="仿宋_GB2312"/>
        </w:rPr>
        <w:t>9、信用查询： 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 非联合体投标声明：本项目不接受联合体，提供非联合体投标声明。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乾县五峰山国有生态林场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乾县峰阳镇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杜保权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13759705958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陕西省西安市雁塔区陕西省西安市雁塔区长安南路130号长丰国际广场B座609室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18182543666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采购包1：597,798.06元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代理服务费收费标准：参照国家计委关于印发《招标代理服务收费管理暂行办法》的通知（计价格〔2002〕1980号）、国家发改委文件发改价格【2011】534号文规定向中标（成交）供应商收取代理服务费。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乾县五峰山国有生态林场</w:t>
      </w:r>
      <w:r>
        <w:rPr>
          <w:rFonts w:ascii="仿宋_GB2312" w:hAnsi="仿宋_GB2312" w:cs="仿宋_GB2312" w:eastAsia="仿宋_GB2312"/>
        </w:rPr>
        <w:t>和</w:t>
      </w:r>
      <w:r>
        <w:rPr>
          <w:rFonts w:ascii="仿宋_GB2312" w:hAnsi="仿宋_GB2312" w:cs="仿宋_GB2312" w:eastAsia="仿宋_GB2312"/>
        </w:rPr>
        <w:t>陕西华昕项目管理有限公司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乾县五峰山国有生态林场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乾县五峰山国有生态林场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符合合同及技术要求，资料齐全，修剪达标，服务履约到位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联系人：李亚莉</w:t>
      </w:r>
    </w:p>
    <w:p>
      <w:pPr>
        <w:pStyle w:val="null3"/>
      </w:pPr>
      <w:r>
        <w:rPr>
          <w:rFonts w:ascii="仿宋_GB2312" w:hAnsi="仿宋_GB2312" w:cs="仿宋_GB2312" w:eastAsia="仿宋_GB2312"/>
        </w:rPr>
        <w:t>联系电话：18182543666</w:t>
      </w:r>
    </w:p>
    <w:p>
      <w:pPr>
        <w:pStyle w:val="null3"/>
      </w:pPr>
      <w:r>
        <w:rPr>
          <w:rFonts w:ascii="仿宋_GB2312" w:hAnsi="仿宋_GB2312" w:cs="仿宋_GB2312" w:eastAsia="仿宋_GB2312"/>
        </w:rPr>
        <w:t>地址：陕西省西安市雁塔区陕西省西安市雁塔区长安南路130号长丰国际广场B座609室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对西兰大街，福银高速引线，靖庄路，南二环等路段乔木，灌木及绿篱进行修剪。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597,798.06</w:t>
      </w:r>
    </w:p>
    <w:p>
      <w:pPr>
        <w:pStyle w:val="null3"/>
      </w:pPr>
      <w:r>
        <w:rPr>
          <w:rFonts w:ascii="仿宋_GB2312" w:hAnsi="仿宋_GB2312" w:cs="仿宋_GB2312" w:eastAsia="仿宋_GB2312"/>
        </w:rPr>
        <w:t>采购包最高限价（元）: 597,798.06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修剪我县西兰大街等路段行道树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597,798.06</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标的名称：修剪我县西兰大街等路段行道树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修剪行道树池绿篱，绿化带绿篱，修剪草坪及杂</w:t>
            </w:r>
            <w:r>
              <w:rPr>
                <w:rFonts w:ascii="仿宋_GB2312" w:hAnsi="仿宋_GB2312" w:cs="仿宋_GB2312" w:eastAsia="仿宋_GB2312"/>
                <w:sz w:val="24"/>
              </w:rPr>
              <w:t>草，</w:t>
            </w:r>
            <w:r>
              <w:rPr>
                <w:rFonts w:ascii="仿宋_GB2312" w:hAnsi="仿宋_GB2312" w:cs="仿宋_GB2312" w:eastAsia="仿宋_GB2312"/>
                <w:sz w:val="24"/>
              </w:rPr>
              <w:t>修剪整形行道树，砍伐乔木，拆除道牙，</w:t>
            </w:r>
            <w:r>
              <w:rPr>
                <w:rFonts w:ascii="仿宋_GB2312" w:hAnsi="仿宋_GB2312" w:cs="仿宋_GB2312" w:eastAsia="仿宋_GB2312"/>
                <w:sz w:val="24"/>
              </w:rPr>
              <w:t>安砌道牙石。</w:t>
            </w:r>
          </w:p>
          <w:p>
            <w:pPr>
              <w:pStyle w:val="null3"/>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项目负责人具有园林绿化相关专业中级及以上职称，且无在建工程</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图纸和工程量清单如有不一致的情况，以工程量清单为准，并结合现场踏勘情况综合考虑。2、为顺利推进政府采购电子化交易平台应用工作，供应商需要在线提交所有通过电子化交易平台实施的政府采购项目的磋商响应文件，同时，线下提交响应文件正本壹份、副本贰份、电子版壹份（U盘1个，包含word、PDF和广联达版本电子投标书格式响应文件所有内容），全部纸质、电子版资料统一密封在一个密封袋中。若电子化交易平台文件与纸质磋商响应文件不一致的，以电子化交易平台文件为准。线下递交文件时间与线上磋商截止时间一致；线下递交文件地点：陕西省西安市雁塔区陕西省西安市雁塔区长安南路130号长丰国际广场B座609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1、行道树：树冠不影响车辆行人通行，与架空线保持安全距离，分枝高度一致。 2、草坪：修剪高度均匀一致，符合设计要求、剪草痕迹顺直美观，无漏剪、无高低不平、无碾压草坪、无泥土裸露。 3、乔木砍伐：现场无残留树干、大枝，无安全隐患，砍伐后场地平整、覆土恢复。 4、安砌道牙石：道牙石外观无缺角、裂缝、色差均匀，尺寸符合设计要求。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甲乙双方签订施工合同后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项目完成决算审计后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依据《中华人民共和国民法典》、《中华人民共和国政府采购法》的相关条款和本合同约定的相关条款执行；2.成交供应商未按合同要求履行，不符合采购技术要求，成交供应商必须无条件更换人员或设备，提高技术，完善质量，否则，采购人有权终止合同，并对成交供应商的违约行为进行追究并依法向成交供应商进行经济索赔。 争议解决：1.合同一经签订，不得擅自变更、中止或者终止合同。对确需变更、调整或者中止、终止合同的，应按规定履行相应的手续；2.采购人在合同的履行期间以及履行期后，可以随时检查项目的执行情况，对采购标准、采购内容进行调查核实，并对发现的问题进行处理；3.合同争议的解决：合同在履行过程中发生的争议，当事人双方应协商解决，协商达不成一致时，可向当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质量标准：符合国家及行业验收合格标准。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供应商应为具有独立承担民事责任能力的企业法人、事业法人、其他组织或自然人</w:t>
            </w:r>
          </w:p>
        </w:tc>
        <w:tc>
          <w:tcPr>
            <w:tcW w:type="dxa" w:w="3322"/>
          </w:tcPr>
          <w:p>
            <w:pPr>
              <w:pStyle w:val="null3"/>
            </w:pPr>
            <w:r>
              <w:rPr>
                <w:rFonts w:ascii="仿宋_GB2312" w:hAnsi="仿宋_GB2312" w:cs="仿宋_GB2312" w:eastAsia="仿宋_GB2312"/>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w:t>
            </w:r>
          </w:p>
        </w:tc>
        <w:tc>
          <w:tcPr>
            <w:tcW w:type="dxa" w:w="3322"/>
          </w:tcPr>
          <w:p>
            <w:pPr>
              <w:pStyle w:val="null3"/>
            </w:pPr>
            <w:r>
              <w:rPr>
                <w:rFonts w:ascii="仿宋_GB2312" w:hAnsi="仿宋_GB2312" w:cs="仿宋_GB2312" w:eastAsia="仿宋_GB2312"/>
              </w:rPr>
              <w:t>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和递交截止时间前六个月内任意一月已缴存的社会保障资金缴费证明或参保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w:t>
            </w:r>
          </w:p>
        </w:tc>
        <w:tc>
          <w:tcPr>
            <w:tcW w:type="dxa" w:w="3322"/>
          </w:tcPr>
          <w:p>
            <w:pPr>
              <w:pStyle w:val="null3"/>
            </w:pPr>
            <w:r>
              <w:rPr>
                <w:rFonts w:ascii="仿宋_GB2312" w:hAnsi="仿宋_GB2312" w:cs="仿宋_GB2312" w:eastAsia="仿宋_GB2312"/>
              </w:rPr>
              <w:t>供应商需提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供应商提供响应文件递交截止时间前六个月内任意一月已缴纳的纳税证明或完税证明，依法免税的供应商应提供相关证明文件。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供应商提供响应文件递交截止时间前六个月内任意一月已缴存的社会保障资金缴费证明或参保证明，依法不需要缴纳社会保障资金的供应商应提供相关证明文件。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拟派项目负责人资质条件</w:t>
            </w:r>
          </w:p>
        </w:tc>
        <w:tc>
          <w:tcPr>
            <w:tcW w:type="dxa" w:w="3322"/>
          </w:tcPr>
          <w:p>
            <w:pPr>
              <w:pStyle w:val="null3"/>
            </w:pPr>
            <w:r>
              <w:rPr>
                <w:rFonts w:ascii="仿宋_GB2312" w:hAnsi="仿宋_GB2312" w:cs="仿宋_GB2312" w:eastAsia="仿宋_GB2312"/>
              </w:rPr>
              <w:t>项目负责人具有园林绿化相关专业中级及以上职称，且无在建工程。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供应商应具有履行合同所必需的设备和专业技术能力，提供承诺书。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 xml:space="preserve"> 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 xml:space="preserve"> 非联合体投标声明</w:t>
            </w:r>
          </w:p>
        </w:tc>
        <w:tc>
          <w:tcPr>
            <w:tcW w:type="dxa" w:w="3322"/>
          </w:tcPr>
          <w:p>
            <w:pPr>
              <w:pStyle w:val="null3"/>
            </w:pPr>
            <w:r>
              <w:rPr>
                <w:rFonts w:ascii="仿宋_GB2312" w:hAnsi="仿宋_GB2312" w:cs="仿宋_GB2312" w:eastAsia="仿宋_GB2312"/>
              </w:rPr>
              <w:t>本项目不接受联合体，提供非联合体投标声明。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内控制度.docx 已标价工程量清单.docx 中小企业声明函 商务应答表 应急方案.docx 质量保证措施.docx 报价表 响应文件封面 项目组人员.docx 供应商应提交的相关资格证明材料.docx 类似项目业绩.docx 残疾人福利性单位声明函 工作进度保证措施.docx 合理建议.docx 标的清单 实施方案.docx 拟投入作业设备、物资及劳保用品配备.docx 响应函 陕西省政府采购供应商拒绝政府采购领域商业贿赂承诺书.docx 供应商认为有必要补充说明的事宜.docx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响应文件格式中要求法定代表人或被授权人的签字处，签字齐全，响应文件加盖电子印章</w:t>
            </w:r>
          </w:p>
        </w:tc>
        <w:tc>
          <w:tcPr>
            <w:tcW w:type="dxa" w:w="1661"/>
          </w:tcPr>
          <w:p>
            <w:pPr>
              <w:pStyle w:val="null3"/>
            </w:pPr>
            <w:r>
              <w:rPr>
                <w:rFonts w:ascii="仿宋_GB2312" w:hAnsi="仿宋_GB2312" w:cs="仿宋_GB2312" w:eastAsia="仿宋_GB2312"/>
              </w:rPr>
              <w:t>内控制度.docx 已标价工程量清单.docx 中小企业声明函 商务应答表 应急方案.docx 质量保证措施.docx 报价表 响应文件封面 项目组人员.docx 供应商应提交的相关资格证明材料.docx 类似项目业绩.docx 残疾人福利性单位声明函 工作进度保证措施.docx 合理建议.docx 标的清单 实施方案.docx 拟投入作业设备、物资及劳保用品配备.docx 响应函 陕西省政府采购供应商拒绝政府采购领域商业贿赂承诺书.docx 供应商认为有必要补充说明的事宜.docx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符合国家及行业验收合格标准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合同工期</w:t>
            </w:r>
          </w:p>
        </w:tc>
        <w:tc>
          <w:tcPr>
            <w:tcW w:type="dxa" w:w="3322"/>
          </w:tcPr>
          <w:p>
            <w:pPr>
              <w:pStyle w:val="null3"/>
            </w:pPr>
            <w:r>
              <w:rPr>
                <w:rFonts w:ascii="仿宋_GB2312" w:hAnsi="仿宋_GB2312" w:cs="仿宋_GB2312" w:eastAsia="仿宋_GB2312"/>
              </w:rPr>
              <w:t>自合同签订之日起15日历天</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首次响应报价</w:t>
            </w:r>
          </w:p>
        </w:tc>
        <w:tc>
          <w:tcPr>
            <w:tcW w:type="dxa" w:w="3322"/>
          </w:tcPr>
          <w:p>
            <w:pPr>
              <w:pStyle w:val="null3"/>
            </w:pPr>
            <w:r>
              <w:rPr>
                <w:rFonts w:ascii="仿宋_GB2312" w:hAnsi="仿宋_GB2312" w:cs="仿宋_GB2312" w:eastAsia="仿宋_GB2312"/>
              </w:rPr>
              <w:t>报价不超过最高限价</w:t>
            </w:r>
          </w:p>
        </w:tc>
        <w:tc>
          <w:tcPr>
            <w:tcW w:type="dxa" w:w="1661"/>
          </w:tcPr>
          <w:p>
            <w:pPr>
              <w:pStyle w:val="null3"/>
            </w:pPr>
            <w:r>
              <w:rPr>
                <w:rFonts w:ascii="仿宋_GB2312" w:hAnsi="仿宋_GB2312" w:cs="仿宋_GB2312" w:eastAsia="仿宋_GB2312"/>
              </w:rPr>
              <w:t>已标价工程量清单.docx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评委根据供应商所提供的项目实施方案进行相应评分，包括但不限于：①作业区域的作业内容；②作业时间；③服务人员安排；④作业方法等内容。以上评审内容，每项6分，满分24分。 （1）内容完整，合理性强、可行性强，每项得6分； （2）内容完整，但未针对各项内容进行详细描述，每项得4分；（3）内容较完整，合理性一般、可行性一般，每项得2分； （4）内容有缺项或未提供相关内容的，根据评审内容此项得0分。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专业人员配备合理、全面、满足项目需求，人员分工、岗位职责明确并提供递交截止时间前六个月内任意一月已缴存的社会保障资金缴费证明或参保证明。 根据人员架构的设置情况是否充分，是否覆盖与本项目相关的专业技术能力，岗位划分是否清晰，职责是否明确进行得分（满分9分）： (1)项目组人员配备方案非常完整、非常合理，针对性及可实施性非常强，完全满足项目需求得9分； (2)方案比较完整、比较合理，具有一定的针对性及可实施性，基本满足磋商文件要求，得6分； (3)方案完整度一般、合理性一般，针对性及可实施性一般，基本满足磋商文件要求，部分满足项目需求得3分； (4)方案过于简单，不能满足要求，或未提供相关内容不得分。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项目组人员.docx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拟投入作业设备、物 资及劳保用品配备</w:t>
            </w:r>
          </w:p>
        </w:tc>
        <w:tc>
          <w:tcPr>
            <w:tcW w:type="dxa" w:w="2492"/>
          </w:tcPr>
          <w:p>
            <w:pPr>
              <w:pStyle w:val="null3"/>
            </w:pPr>
            <w:r>
              <w:rPr>
                <w:rFonts w:ascii="仿宋_GB2312" w:hAnsi="仿宋_GB2312" w:cs="仿宋_GB2312" w:eastAsia="仿宋_GB2312"/>
              </w:rPr>
              <w:t>评委根据供应商所提供的拟投入作业设备、物资及劳保用品配备进行相应评分，包括但不限于：①作业设备、物资及劳保用品配备；②备品备件计划保证措施；以上评审内容，每项6分，满分12分。 （1）内容完整，合理性强、可行性强，每项得6分；（2）内容完整，但未针对各项内容进行详细描述，每项得4分；（3）内容较完整，合理性一般、可行性一般，每项得2 分；（4）内容有缺项或未提供相关内容的，根据评审内容此项得0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拟投入作业设备、物资及劳保用品配备.docx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1.供应商具有完善的工作内部管理制度，分工明确、流程完整合理。根据制度完备性、措施合理性进行赋分，完全满足项目要求，得6分； 2.供应商具有较完善的工作内部管理制度，分工较明确、流程较合理。根据制度完备性、措施合理性进行赋分，基本满足项目要求，得4分； 3.供应商具有较一般的工作内部管理制度，分工一般、流程一般。根据制度完备性、措施合理性进行赋分，部分满足项目要求，得2分； 4.不能满足要求，或未提供相关内容不得分。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内控制度.docx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针对本项目出现突发状况或问题后的补救措施等方面，包括但不限于：①对突发情况响应时间；②服务承诺；③应急方案等；以上评审内容，每项3分，满分9分。 （1）内容完整，合理性强、可行性强，每项得3分； （2）内容完整，但未针对各项内容进行详细描述，每项得1.5分； （3）内容较完整，合理性一般、可行性一般，每项得1分； （4）内容有缺项或未提供相关内容的，根据评审内容此项得0分。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针对本项目制定质量保证措施： 质量保证措施切实可行、责任明确得9分； 质量保证措施可行性一般、责任较明确得6分； 质量保证措施可行性低、责任不明确得3分。 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工作进度保证措施</w:t>
            </w:r>
          </w:p>
        </w:tc>
        <w:tc>
          <w:tcPr>
            <w:tcW w:type="dxa" w:w="2492"/>
          </w:tcPr>
          <w:p>
            <w:pPr>
              <w:pStyle w:val="null3"/>
            </w:pPr>
            <w:r>
              <w:rPr>
                <w:rFonts w:ascii="仿宋_GB2312" w:hAnsi="仿宋_GB2312" w:cs="仿宋_GB2312" w:eastAsia="仿宋_GB2312"/>
              </w:rPr>
              <w:t>针对本项目制定工作进度保证措施：工作进度计划详细可行、合理，以严谨且可执行的保障措施实现本项目对时间的要求得9分； 工作进度计划较详细可行、合理，保障措施一般得6分； 工作进度计划可行性低、不合理，保障措施无法满足本项目对时间的要求得3分。 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工作进度保证措施.docx</w:t>
            </w:r>
          </w:p>
        </w:tc>
      </w:tr>
      <w:tr>
        <w:tc>
          <w:tcPr>
            <w:tcW w:type="dxa" w:w="831"/>
            <w:vMerge/>
          </w:tcPr>
          <w:p/>
        </w:tc>
        <w:tc>
          <w:tcPr>
            <w:tcW w:type="dxa" w:w="1661"/>
          </w:tcPr>
          <w:p>
            <w:pPr>
              <w:pStyle w:val="null3"/>
            </w:pPr>
            <w:r>
              <w:rPr>
                <w:rFonts w:ascii="仿宋_GB2312" w:hAnsi="仿宋_GB2312" w:cs="仿宋_GB2312" w:eastAsia="仿宋_GB2312"/>
              </w:rPr>
              <w:t>合理建议</w:t>
            </w:r>
          </w:p>
        </w:tc>
        <w:tc>
          <w:tcPr>
            <w:tcW w:type="dxa" w:w="2492"/>
          </w:tcPr>
          <w:p>
            <w:pPr>
              <w:pStyle w:val="null3"/>
            </w:pPr>
            <w:r>
              <w:rPr>
                <w:rFonts w:ascii="仿宋_GB2312" w:hAnsi="仿宋_GB2312" w:cs="仿宋_GB2312" w:eastAsia="仿宋_GB2312"/>
              </w:rPr>
              <w:t>针对本项目提出合理化建议满足项目需要，方案科学计6分，合理化建议安排较能满足项目需要、较合理，方案较科学计4分，合理化建议安排不够详细，科学性、合理性、可行性差的计2分。 注：未进行描述的本项不得分。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合理建议.docx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提供供应商自2023年 4 月 1 日至今承担过的类似项目业绩，每提供1 个项目合同得 2分，最多得 6分。 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p>
            <w:pPr>
              <w:pStyle w:val="null3"/>
            </w:pPr>
            <w:r>
              <w:rPr>
                <w:rFonts w:ascii="仿宋_GB2312" w:hAnsi="仿宋_GB2312" w:cs="仿宋_GB2312" w:eastAsia="仿宋_GB2312"/>
              </w:rPr>
              <w:t>供应商认为有必要补充说明的事宜.docx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采购文件要求且磋商价格最低报价函的磋商报价为评审基准价，其价格分为满分。其他供应商的价格分统一按照下列公式计算：磋商报价得分=（评审基准价/磋商报价）×价格权值×100。 评标委员会1/2以上成员认为某报价有低于成本价嫌疑的，为无效报价按废标处理。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详见附件：拟投入作业设备、物资及劳保用品配备.docx</w:t>
      </w:r>
    </w:p>
    <w:p>
      <w:pPr>
        <w:pStyle w:val="null3"/>
        <w:ind w:firstLine="960"/>
      </w:pPr>
      <w:r>
        <w:rPr>
          <w:rFonts w:ascii="仿宋_GB2312" w:hAnsi="仿宋_GB2312" w:cs="仿宋_GB2312" w:eastAsia="仿宋_GB2312"/>
        </w:rPr>
        <w:t>详见附件：内控制度.docx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详见附件：工作进度保证措施.docx</w:t>
      </w:r>
    </w:p>
    <w:p>
      <w:pPr>
        <w:pStyle w:val="null3"/>
        <w:ind w:firstLine="960"/>
      </w:pPr>
      <w:r>
        <w:rPr>
          <w:rFonts w:ascii="仿宋_GB2312" w:hAnsi="仿宋_GB2312" w:cs="仿宋_GB2312" w:eastAsia="仿宋_GB2312"/>
        </w:rPr>
        <w:t>详见附件：合理建议.docx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