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长武县小麦宽幅沟播机及玉米增密度免耕施肥精量播种机采购项目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技术要求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一、机具资质要求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玉米免耕施肥播种机、小麦宽幅播种机获得陕西省级农业机械推广鉴定站鉴定证书，其中玉米免耕施肥播种机入选“2024年陕西省第一批玉米增密度播种机”名单。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二、机具技术要求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（一）玉米免耕施肥播种机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1、机具性能要求：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default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播种机具有复式作业性能，一次作业完成开沟、施肥、播种、覆土、镇压5道工序，种肥分施，播深一致，株距均匀，不缺苗断垄。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机具技术参数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（1）配套动力73.5-147kw，工作行数4行，行距65cm,分层施肥。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（2）具有独立的苗带开沟、灭茬、碎土装置。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（3）排种器：指夹式金属排种器。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（4）播种机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7"/>
          <w:sz w:val="36"/>
          <w:szCs w:val="36"/>
          <w14:textFill>
            <w14:solidFill>
              <w14:schemeClr w14:val="tx1"/>
            </w14:solidFill>
          </w14:textFill>
        </w:rPr>
        <w:t>仿形机构应配置单体独立同步仿形机构，在播种机开沟器位置同步仿形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48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7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7"/>
          <w:sz w:val="36"/>
          <w:szCs w:val="36"/>
          <w14:textFill>
            <w14:solidFill>
              <w14:schemeClr w14:val="tx1"/>
            </w14:solidFill>
          </w14:textFill>
        </w:rPr>
        <w:t>镇压机构应配置单体轮式苗带镇压机构，镇压效果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好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7"/>
          <w:sz w:val="36"/>
          <w:szCs w:val="36"/>
          <w14:textFill>
            <w14:solidFill>
              <w14:schemeClr w14:val="tx1"/>
            </w14:solidFill>
          </w14:textFill>
        </w:rPr>
        <w:t>，确保种子与土壤紧密结合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（6）播种量：亩播量5000株以上，播量可调，播种深度3-5cm，播种深度可调。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（7）施肥:三层施肥，肥箱容量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＞240L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，施肥量可调，种肥间距≥5-8cm。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（8）深松：带深松铲的深松深度≥25cm,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深松深度一致，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表平整、无漏松。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（二）小麦宽幅播种机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1、机具性能要求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播种机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配套动力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66.2-95.6千瓦，复式机具，可一次完成开沟、施肥、播种、覆土、镇压5道工序。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2、机具技术参数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（1）播种：工作行数种12行，肥6行。</w:t>
      </w:r>
      <w:r>
        <w:rPr>
          <w:rStyle w:val="16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排种器具备宽幅下种结构，</w:t>
      </w:r>
      <w: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下种宽幅在10-12cm，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亩播量15-25kg，播量可调，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播种深度为3—5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cm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napToGrid/>
        <w:spacing w:before="0" w:beforeAutospacing="0" w:after="0" w:afterAutospacing="0" w:line="240" w:lineRule="auto"/>
        <w:ind w:firstLine="720" w:firstLineChars="200"/>
        <w:jc w:val="both"/>
        <w:textAlignment w:val="baseline"/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（2）安装有性能完善的灭茬开沟装置，</w:t>
      </w:r>
      <w: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在开沟的同时完成对秸秆的铡切和抛离，种床内土壤细碎，保证小麦种子好出苗。</w:t>
      </w:r>
      <w:r>
        <w:rPr>
          <w:rStyle w:val="16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开沟深度8-12cm，开沟宽度15cm，免耕空带宽度15--20cm。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（3）施肥:</w:t>
      </w:r>
      <w: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w w:val="100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种肥同播，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三层施肥，</w:t>
      </w:r>
      <w: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w w:val="100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种肥深度上下可调节，施肥器结构畅通，以施用颗粒肥为主。种箱容量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＞</w:t>
      </w:r>
      <w: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w w:val="100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120L，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肥箱容量＞200L，施肥量可调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深松：带深松铲的深松深度≥25cm,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深松深度一致，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表平整、无漏松。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720" w:firstLineChars="200"/>
        <w:jc w:val="both"/>
        <w:textAlignment w:val="baseline"/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（5）具备完善的覆土镇压功能，镇压严实，保证小麦种子不架空、不亮籽，苗带垄带清晰，出苗率高。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" w:hAnsi="仿宋" w:eastAsia="仿宋" w:cs="仿宋"/>
          <w:color w:val="FF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 w:firstLine="720" w:firstLineChars="200"/>
        <w:textAlignment w:val="auto"/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5E381"/>
    <w:multiLevelType w:val="singleLevel"/>
    <w:tmpl w:val="2195E38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MTJiZTE2MjI0OWI3MjkxZTIzMWZiNDc2MGIwMWYifQ=="/>
  </w:docVars>
  <w:rsids>
    <w:rsidRoot w:val="00B80403"/>
    <w:rsid w:val="00B80403"/>
    <w:rsid w:val="02111B48"/>
    <w:rsid w:val="0BD56FEB"/>
    <w:rsid w:val="0DFF4F4B"/>
    <w:rsid w:val="0E43541D"/>
    <w:rsid w:val="1788376E"/>
    <w:rsid w:val="184D4BAC"/>
    <w:rsid w:val="18DC4807"/>
    <w:rsid w:val="20992FDD"/>
    <w:rsid w:val="20CE712B"/>
    <w:rsid w:val="23C860B3"/>
    <w:rsid w:val="287405B8"/>
    <w:rsid w:val="2B591CE7"/>
    <w:rsid w:val="2C7548FE"/>
    <w:rsid w:val="2F5702EB"/>
    <w:rsid w:val="2FCA31B3"/>
    <w:rsid w:val="30F7339B"/>
    <w:rsid w:val="352B46F4"/>
    <w:rsid w:val="3E4902AE"/>
    <w:rsid w:val="402C30CE"/>
    <w:rsid w:val="417E7959"/>
    <w:rsid w:val="478832E0"/>
    <w:rsid w:val="47A10846"/>
    <w:rsid w:val="4C453E95"/>
    <w:rsid w:val="4C9149E5"/>
    <w:rsid w:val="4F7A6832"/>
    <w:rsid w:val="53065A01"/>
    <w:rsid w:val="5A6279C1"/>
    <w:rsid w:val="71FB277D"/>
    <w:rsid w:val="72185C19"/>
    <w:rsid w:val="72930C07"/>
    <w:rsid w:val="7558080A"/>
    <w:rsid w:val="77922E3F"/>
    <w:rsid w:val="7799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771CAA"/>
      <w:u w:val="none"/>
    </w:rPr>
  </w:style>
  <w:style w:type="character" w:styleId="8">
    <w:name w:val="Emphasis"/>
    <w:basedOn w:val="6"/>
    <w:qFormat/>
    <w:uiPriority w:val="0"/>
    <w:rPr>
      <w:color w:val="F73131"/>
    </w:rPr>
  </w:style>
  <w:style w:type="character" w:styleId="9">
    <w:name w:val="Hyperlink"/>
    <w:basedOn w:val="6"/>
    <w:qFormat/>
    <w:uiPriority w:val="0"/>
    <w:rPr>
      <w:color w:val="2440B3"/>
      <w:u w:val="none"/>
    </w:rPr>
  </w:style>
  <w:style w:type="character" w:styleId="10">
    <w:name w:val="HTML Cite"/>
    <w:basedOn w:val="6"/>
    <w:qFormat/>
    <w:uiPriority w:val="0"/>
    <w:rPr>
      <w:color w:val="008000"/>
    </w:rPr>
  </w:style>
  <w:style w:type="character" w:customStyle="1" w:styleId="11">
    <w:name w:val="c-icon"/>
    <w:basedOn w:val="6"/>
    <w:qFormat/>
    <w:uiPriority w:val="0"/>
  </w:style>
  <w:style w:type="character" w:customStyle="1" w:styleId="12">
    <w:name w:val="hover25"/>
    <w:basedOn w:val="6"/>
    <w:qFormat/>
    <w:uiPriority w:val="0"/>
  </w:style>
  <w:style w:type="character" w:customStyle="1" w:styleId="13">
    <w:name w:val="hover26"/>
    <w:basedOn w:val="6"/>
    <w:qFormat/>
    <w:uiPriority w:val="0"/>
    <w:rPr>
      <w:color w:val="315EFB"/>
    </w:rPr>
  </w:style>
  <w:style w:type="character" w:customStyle="1" w:styleId="14">
    <w:name w:val="hover27"/>
    <w:basedOn w:val="6"/>
    <w:qFormat/>
    <w:uiPriority w:val="0"/>
    <w:rPr>
      <w:color w:val="315EFB"/>
    </w:rPr>
  </w:style>
  <w:style w:type="character" w:customStyle="1" w:styleId="15">
    <w:name w:val="content-right_1thtn1"/>
    <w:basedOn w:val="6"/>
    <w:qFormat/>
    <w:uiPriority w:val="0"/>
  </w:style>
  <w:style w:type="character" w:customStyle="1" w:styleId="1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785</Words>
  <Characters>866</Characters>
  <Lines>0</Lines>
  <Paragraphs>0</Paragraphs>
  <TotalTime>25</TotalTime>
  <ScaleCrop>false</ScaleCrop>
  <LinksUpToDate>false</LinksUpToDate>
  <CharactersWithSpaces>867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2024-05-30T00:58:00Z</dcterms:created>
  <dc:creator>Administrator</dc:creator>
  <cp:lastModifiedBy>WPS_1554714318</cp:lastModifiedBy>
  <cp:lastPrinted>2024-06-24T03:20:00Z</cp:lastPrinted>
  <dcterms:modified xsi:type="dcterms:W3CDTF">2024-07-16T10:30:41Z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8DDD18530A544C63A1FC82A67A3F649C_11</vt:lpwstr>
  </property>
</Properties>
</file>