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版本号：ZCSP-渭南市-2025-0076020251013001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渭南市临渭区城区2025年土地征收成片开发方案编制项目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ZCSP-渭南市-2025-00760</w:t>
      </w:r>
      <w:r>
        <w:br/>
      </w:r>
      <w:r>
        <w:br/>
      </w:r>
      <w:r>
        <w:br/>
      </w:r>
    </w:p>
    <w:p>
      <w:pPr>
        <w:pStyle w:val="null3"/>
        <w:jc w:val="center"/>
        <w:outlineLvl w:val="2"/>
      </w:pPr>
      <w:r>
        <w:rPr>
          <w:rFonts w:ascii="仿宋_GB2312" w:hAnsi="仿宋_GB2312" w:cs="仿宋_GB2312" w:eastAsia="仿宋_GB2312"/>
          <w:sz w:val="28"/>
          <w:b/>
        </w:rPr>
        <w:t>渭南市土地收购储备中心</w:t>
      </w:r>
    </w:p>
    <w:p>
      <w:pPr>
        <w:pStyle w:val="null3"/>
        <w:jc w:val="center"/>
        <w:outlineLvl w:val="2"/>
      </w:pPr>
      <w:r>
        <w:rPr>
          <w:rFonts w:ascii="仿宋_GB2312" w:hAnsi="仿宋_GB2312" w:cs="仿宋_GB2312" w:eastAsia="仿宋_GB2312"/>
          <w:sz w:val="28"/>
          <w:b/>
        </w:rPr>
        <w:t>国正聚源工程咨询集团有限公司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国正聚源工程咨询集团有限公司</w:t>
      </w:r>
      <w:r>
        <w:rPr>
          <w:rFonts w:ascii="仿宋_GB2312" w:hAnsi="仿宋_GB2312" w:cs="仿宋_GB2312" w:eastAsia="仿宋_GB2312"/>
        </w:rPr>
        <w:t>（以下简称“代理机构”）受</w:t>
      </w:r>
      <w:r>
        <w:rPr>
          <w:rFonts w:ascii="仿宋_GB2312" w:hAnsi="仿宋_GB2312" w:cs="仿宋_GB2312" w:eastAsia="仿宋_GB2312"/>
        </w:rPr>
        <w:t>渭南市土地收购储备中心</w:t>
      </w:r>
      <w:r>
        <w:rPr>
          <w:rFonts w:ascii="仿宋_GB2312" w:hAnsi="仿宋_GB2312" w:cs="仿宋_GB2312" w:eastAsia="仿宋_GB2312"/>
        </w:rPr>
        <w:t>委托，拟对</w:t>
      </w:r>
      <w:r>
        <w:rPr>
          <w:rFonts w:ascii="仿宋_GB2312" w:hAnsi="仿宋_GB2312" w:cs="仿宋_GB2312" w:eastAsia="仿宋_GB2312"/>
        </w:rPr>
        <w:t>渭南市临渭区城区2025年土地征收成片开发方案编制项目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渭南市临渭区城区2025年土地征收成片开发方案编制项目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渭南市临渭区城区2025年土地征收成片开发方案编制 1、对连续两年未实施项目进行调整 2、对实施期满未完成的项目申请撤销 3、编制2026－2028年渭南市临渭区城区土地征收成片开发方案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采购包1（渭南市临渭区城区2025年土地征收成片开发方案编制项目）：属于专门面向中小企业采购。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1、具有独立承担民事责任能力：具有独立承担民事责任能力，提供供应商合法注册的法人或其他组织的营业执照</w:t>
      </w:r>
    </w:p>
    <w:p>
      <w:pPr>
        <w:pStyle w:val="null3"/>
      </w:pPr>
      <w:r>
        <w:rPr>
          <w:rFonts w:ascii="仿宋_GB2312" w:hAnsi="仿宋_GB2312" w:cs="仿宋_GB2312" w:eastAsia="仿宋_GB2312"/>
        </w:rPr>
        <w:t>2、供应商资质要求：供应商须具备土地规划乙级及以上资质证书；拟派项目负责人具有规划或测绘相关专业中级及以上职称；（注：项目负责人须为本单位在职员工并提供投标截止日前三个月社会保障资金凭证并加盖投标人公章）</w:t>
      </w:r>
    </w:p>
    <w:p>
      <w:pPr>
        <w:pStyle w:val="null3"/>
      </w:pPr>
      <w:r>
        <w:rPr>
          <w:rFonts w:ascii="仿宋_GB2312" w:hAnsi="仿宋_GB2312" w:cs="仿宋_GB2312" w:eastAsia="仿宋_GB2312"/>
        </w:rPr>
        <w:t>3、应授权合法的人员参加投标全过程：供应商应授权合法的人员参加投标，其中法定代表人直接参加投标，须出具法定代表人身份证，并与营业执照上信息一致。法定代表人授权代表参加投标，须出具法定代表人授权书及授权代表身份证原件</w:t>
      </w:r>
    </w:p>
    <w:p>
      <w:pPr>
        <w:pStyle w:val="null3"/>
      </w:pPr>
      <w:r>
        <w:rPr>
          <w:rFonts w:ascii="仿宋_GB2312" w:hAnsi="仿宋_GB2312" w:cs="仿宋_GB2312" w:eastAsia="仿宋_GB2312"/>
        </w:rPr>
        <w:t>4、健全的财务会计制度的证明材料：提供2024年度经审计的财务报告 (成立时间至开标时间不足一年的可提供成立后任意时段的资产负债表）或投标截止时间前六个月内其基本账户银行出具的资信证明；</w:t>
      </w:r>
    </w:p>
    <w:p>
      <w:pPr>
        <w:pStyle w:val="null3"/>
      </w:pPr>
      <w:r>
        <w:rPr>
          <w:rFonts w:ascii="仿宋_GB2312" w:hAnsi="仿宋_GB2312" w:cs="仿宋_GB2312" w:eastAsia="仿宋_GB2312"/>
        </w:rPr>
        <w:t>5、税收缴纳证明材料：供应商提供本单位2025年01月至今已缴纳的至少一个月的纳税证明或完税证明；（以税款所属期为准，依法免税的应提供相关证明材料）</w:t>
      </w:r>
    </w:p>
    <w:p>
      <w:pPr>
        <w:pStyle w:val="null3"/>
      </w:pPr>
      <w:r>
        <w:rPr>
          <w:rFonts w:ascii="仿宋_GB2312" w:hAnsi="仿宋_GB2312" w:cs="仿宋_GB2312" w:eastAsia="仿宋_GB2312"/>
        </w:rPr>
        <w:t>6、社会保障资金缴纳证明：供应商提供本单位2025年01月至今已缴纳的至少一个月的社会保障资金缴存单据或社保机构开具的社会保险参保缴费情况证明或完税证明；（依法不需要缴纳社会保障资金的投标人应提供相关证明）</w:t>
      </w:r>
    </w:p>
    <w:p>
      <w:pPr>
        <w:pStyle w:val="null3"/>
      </w:pPr>
      <w:r>
        <w:rPr>
          <w:rFonts w:ascii="仿宋_GB2312" w:hAnsi="仿宋_GB2312" w:cs="仿宋_GB2312" w:eastAsia="仿宋_GB2312"/>
        </w:rPr>
        <w:t>7、具有履行合同所必需的设备和专业技术能力的说明及承诺：提供具有履行合同所必需的设备和专业技术能力的说明及承诺，提供承诺书</w:t>
      </w:r>
    </w:p>
    <w:p>
      <w:pPr>
        <w:pStyle w:val="null3"/>
      </w:pPr>
      <w:r>
        <w:rPr>
          <w:rFonts w:ascii="仿宋_GB2312" w:hAnsi="仿宋_GB2312" w:cs="仿宋_GB2312" w:eastAsia="仿宋_GB2312"/>
        </w:rPr>
        <w:t>8、参加政府采购活动前三年内在经营活动中没有重大违法记录：提供参加政府采购活动前三年内在经营活动中没有重大违法记录的书面声明（提供书面声明函）</w:t>
      </w:r>
    </w:p>
    <w:p>
      <w:pPr>
        <w:pStyle w:val="null3"/>
      </w:pPr>
      <w:r>
        <w:rPr>
          <w:rFonts w:ascii="仿宋_GB2312" w:hAnsi="仿宋_GB2312" w:cs="仿宋_GB2312" w:eastAsia="仿宋_GB2312"/>
        </w:rPr>
        <w:t>9、供应商企业信誉：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10、供应商控股关系：单位负责人为同一人或者存在直接控股、管理关系的不同供应商，不得参加同一合同项下的政府采购活动（提供承诺书）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11、本项目不接受联合体投标：本项目不接受联合体投标（提供非联合体声明）</w:t>
      </w:r>
    </w:p>
    <w:p>
      <w:pPr>
        <w:pStyle w:val="null3"/>
      </w:pPr>
      <w:r>
        <w:rPr>
          <w:rFonts w:ascii="仿宋_GB2312" w:hAnsi="仿宋_GB2312" w:cs="仿宋_GB2312" w:eastAsia="仿宋_GB2312"/>
        </w:rPr>
        <w:t>12、投标保证金：投标保证金缴纳符合要求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渭南市土地收购储备中心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渭南市财富大厦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渭南市土地收购储备中心经办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0913-2197031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国正聚源工程咨询集团有限公司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陕西省西安市雁塔区陕西省西安市雁塔区小寨东路126号百隆广场1幢1单元1803-1804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15129916448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开户名称：国正聚源工程咨询集团有限公司渭南分公司</w:t>
            </w:r>
          </w:p>
          <w:p>
            <w:pPr>
              <w:pStyle w:val="null3"/>
            </w:pPr>
            <w:r>
              <w:rPr>
                <w:rFonts w:ascii="仿宋_GB2312" w:hAnsi="仿宋_GB2312" w:cs="仿宋_GB2312" w:eastAsia="仿宋_GB2312"/>
              </w:rPr>
              <w:t>开户银行：中国建设银行股份有限公司渭南电信支行</w:t>
            </w:r>
          </w:p>
          <w:p>
            <w:pPr>
              <w:pStyle w:val="null3"/>
            </w:pPr>
            <w:r>
              <w:rPr>
                <w:rFonts w:ascii="仿宋_GB2312" w:hAnsi="仿宋_GB2312" w:cs="仿宋_GB2312" w:eastAsia="仿宋_GB2312"/>
              </w:rPr>
              <w:t>银行账号：61050164280000000282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代理服务费收费标准：参照国家计委颁发的《招标代理服务收费管理暂行办法》（计价格 [2002]1980号）和国家发展改革委员会办公厅颁发的《关于招标代理服务收费有关问题的通知 》（发改办价格[2003]857号）的有关规定收取。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渭南市土地收购储备中心</w:t>
      </w:r>
      <w:r>
        <w:rPr>
          <w:rFonts w:ascii="仿宋_GB2312" w:hAnsi="仿宋_GB2312" w:cs="仿宋_GB2312" w:eastAsia="仿宋_GB2312"/>
        </w:rPr>
        <w:t>和</w:t>
      </w:r>
      <w:r>
        <w:rPr>
          <w:rFonts w:ascii="仿宋_GB2312" w:hAnsi="仿宋_GB2312" w:cs="仿宋_GB2312" w:eastAsia="仿宋_GB2312"/>
        </w:rPr>
        <w:t>国正聚源工程咨询集团有限公司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渭南市土地收购储备中心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国正聚源工程咨询集团有限公司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渭南市土地收购储备中心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国正聚源工程咨询集团有限公司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提交的成果内容、数量、格式必须满足国家、陕西省和渭南市的有关规定要求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联系人：席工</w:t>
      </w:r>
    </w:p>
    <w:p>
      <w:pPr>
        <w:pStyle w:val="null3"/>
      </w:pPr>
      <w:r>
        <w:rPr>
          <w:rFonts w:ascii="仿宋_GB2312" w:hAnsi="仿宋_GB2312" w:cs="仿宋_GB2312" w:eastAsia="仿宋_GB2312"/>
        </w:rPr>
        <w:t>联系电话：15129916448</w:t>
      </w:r>
    </w:p>
    <w:p>
      <w:pPr>
        <w:pStyle w:val="null3"/>
      </w:pPr>
      <w:r>
        <w:rPr>
          <w:rFonts w:ascii="仿宋_GB2312" w:hAnsi="仿宋_GB2312" w:cs="仿宋_GB2312" w:eastAsia="仿宋_GB2312"/>
        </w:rPr>
        <w:t>地址：陕西省西安市雁塔区陕西省西安市雁塔区小寨东路126号百隆广场1幢1单元1803-1804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 1、对连续两年未实施项目进行调整 2、对实施期满未完成的项目申请撤销 3、编制2026－2028年渭南市临渭区城区土地征收成片开发方案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渭南市临渭区城区2025年土地征收成片开发方案编制项目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标的名称：渭南市临渭区城区2025年土地征收成片开发方案编制项目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1、项目名称：渭南市临渭区城区2025年土地征收成片开发方案编制项目</w:t>
            </w:r>
          </w:p>
          <w:p>
            <w:pPr>
              <w:pStyle w:val="null3"/>
            </w:pPr>
            <w:r>
              <w:rPr>
                <w:rFonts w:ascii="仿宋_GB2312" w:hAnsi="仿宋_GB2312" w:cs="仿宋_GB2312" w:eastAsia="仿宋_GB2312"/>
              </w:rPr>
              <w:t>2、采购内容：</w:t>
            </w:r>
          </w:p>
          <w:p>
            <w:pPr>
              <w:pStyle w:val="null3"/>
            </w:pPr>
            <w:r>
              <w:rPr>
                <w:rFonts w:ascii="仿宋_GB2312" w:hAnsi="仿宋_GB2312" w:cs="仿宋_GB2312" w:eastAsia="仿宋_GB2312"/>
              </w:rPr>
              <w:t>（1）对连续两年未实施项目进行调整</w:t>
            </w:r>
          </w:p>
          <w:p>
            <w:pPr>
              <w:pStyle w:val="null3"/>
            </w:pPr>
            <w:r>
              <w:rPr>
                <w:rFonts w:ascii="仿宋_GB2312" w:hAnsi="仿宋_GB2312" w:cs="仿宋_GB2312" w:eastAsia="仿宋_GB2312"/>
              </w:rPr>
              <w:t>（2）对实施期满未完成的项目申请撤销</w:t>
            </w:r>
          </w:p>
          <w:p>
            <w:pPr>
              <w:pStyle w:val="null3"/>
            </w:pPr>
            <w:r>
              <w:rPr>
                <w:rFonts w:ascii="仿宋_GB2312" w:hAnsi="仿宋_GB2312" w:cs="仿宋_GB2312" w:eastAsia="仿宋_GB2312"/>
              </w:rPr>
              <w:t>（3）编制2026－2028年渭南市临渭区城区土地征收成片开发方案</w:t>
            </w:r>
          </w:p>
          <w:p>
            <w:pPr>
              <w:pStyle w:val="null3"/>
            </w:pPr>
            <w:r>
              <w:rPr>
                <w:rFonts w:ascii="仿宋_GB2312" w:hAnsi="仿宋_GB2312" w:cs="仿宋_GB2312" w:eastAsia="仿宋_GB2312"/>
              </w:rPr>
              <w:t>3、时间要求：自合同签订之日起90日历天内完成</w:t>
            </w:r>
          </w:p>
          <w:p>
            <w:pPr>
              <w:pStyle w:val="null3"/>
            </w:pPr>
            <w:r>
              <w:rPr>
                <w:rFonts w:ascii="仿宋_GB2312" w:hAnsi="仿宋_GB2312" w:cs="仿宋_GB2312" w:eastAsia="仿宋_GB2312"/>
              </w:rPr>
              <w:t>4、服务地点：渭南市临渭区城区</w:t>
            </w:r>
          </w:p>
          <w:p>
            <w:pPr>
              <w:pStyle w:val="null3"/>
            </w:pPr>
            <w:r>
              <w:rPr>
                <w:rFonts w:ascii="仿宋_GB2312" w:hAnsi="仿宋_GB2312" w:cs="仿宋_GB2312" w:eastAsia="仿宋_GB2312"/>
              </w:rPr>
              <w:t>5、主要功能：按照《中华人民共和国土地管理法》第四十五条的规定，依据陕西省自然资源厅关于印发《陕西省土地征收成片开发标准实施细则》的通知（陕自然资规〔2024〕297号）、陕西省自然资源厅办公室关于印发《陕西省土地征收成片开发方案编制指南》的通知（陕自然资办发〔2024〕128号）、渭南市自然资源和规划局《关于转发&lt;陕西省土地征收成片开发方案编制指南&gt;的通知》（渭自然资发〔2024〕140号）文件精神，结合临渭区城区项目开发建设实际，开展临渭区城区2026－2028年土地征收成片开发方案编制工作。编制成果内容符合市级、省级验收审核要求。</w:t>
            </w:r>
          </w:p>
          <w:p>
            <w:pPr>
              <w:pStyle w:val="null3"/>
            </w:pPr>
            <w:r>
              <w:rPr>
                <w:rFonts w:ascii="仿宋_GB2312" w:hAnsi="仿宋_GB2312" w:cs="仿宋_GB2312" w:eastAsia="仿宋_GB2312"/>
              </w:rPr>
              <w:t>6、服务质量、标准、期限、效率等要求</w:t>
            </w:r>
          </w:p>
          <w:p>
            <w:pPr>
              <w:pStyle w:val="null3"/>
            </w:pPr>
            <w:r>
              <w:rPr>
                <w:rFonts w:ascii="仿宋_GB2312" w:hAnsi="仿宋_GB2312" w:cs="仿宋_GB2312" w:eastAsia="仿宋_GB2312"/>
              </w:rPr>
              <w:t>（1）服务质量：符合国家标准、行业标准以及有关技术规范要求。所交付成果应严格按照国家最新发布的规范标准执行。</w:t>
            </w:r>
          </w:p>
          <w:p>
            <w:pPr>
              <w:pStyle w:val="null3"/>
            </w:pPr>
            <w:r>
              <w:rPr>
                <w:rFonts w:ascii="仿宋_GB2312" w:hAnsi="仿宋_GB2312" w:cs="仿宋_GB2312" w:eastAsia="仿宋_GB2312"/>
              </w:rPr>
              <w:t>（2）成果提交要求：提交的成果内容、数量、格式必须满足国家、陕西省和渭南市的有关规定要求。</w:t>
            </w:r>
          </w:p>
          <w:p>
            <w:pPr>
              <w:pStyle w:val="null3"/>
            </w:pPr>
            <w:r>
              <w:rPr>
                <w:rFonts w:ascii="仿宋_GB2312" w:hAnsi="仿宋_GB2312" w:cs="仿宋_GB2312" w:eastAsia="仿宋_GB2312"/>
              </w:rPr>
              <w:t>（3）服务期限：自合同签订之日起90日历天内完成。</w:t>
            </w:r>
          </w:p>
          <w:p>
            <w:pPr>
              <w:pStyle w:val="null3"/>
            </w:pPr>
            <w:r>
              <w:rPr>
                <w:rFonts w:ascii="仿宋_GB2312" w:hAnsi="仿宋_GB2312" w:cs="仿宋_GB2312" w:eastAsia="仿宋_GB2312"/>
              </w:rPr>
              <w:t>（4）保密要求：成交供应商在项目实施过程中，对采购人所提供的所以相关资料、数据，未经采购人书面同意不得向任何第三人泄露，且保密责任不因合同的终止或解除而失效。如果采购人提出要求，成交供应商须无条件与采购人签订保密协议。项目完成后，成交供应商须把采购人提供的所以资料、数据完整归还给采购人，并不得留存任何复制品。</w:t>
            </w:r>
          </w:p>
          <w:p>
            <w:pPr>
              <w:pStyle w:val="null3"/>
            </w:pPr>
            <w:r>
              <w:rPr>
                <w:rFonts w:ascii="仿宋_GB2312" w:hAnsi="仿宋_GB2312" w:cs="仿宋_GB2312" w:eastAsia="仿宋_GB2312"/>
              </w:rPr>
              <w:t>7、验收标准：提交所有成果上报市级审查，通过后，所有成果内容上报省级审查确认验收，成果内容必须符合合同、采购文件及响应文件、澄清、国家标准、行业标准以及采购人要求且满足有关技术规范要求等。</w:t>
            </w:r>
          </w:p>
          <w:p>
            <w:pPr>
              <w:pStyle w:val="null3"/>
            </w:pPr>
            <w:r>
              <w:rPr>
                <w:rFonts w:ascii="仿宋_GB2312" w:hAnsi="仿宋_GB2312" w:cs="仿宋_GB2312" w:eastAsia="仿宋_GB2312"/>
              </w:rPr>
              <w:t>8、支付方式：完成渭南市临渭区城区2025年度土地征收成片开发方案编制工作,通过省级批复及提交成果后，中标供应商应提供同等金额的发票,采购人在收到正规发票后履行付款手续，支付发票全部费用。</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项目人员配备合理、专业人员分工、职责明确，能够满足本项目服务需求: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提交所有成果上报市级审查，通过后，所有成果内容上报省级审查确认验收，成果内容必须符合合同、采购文件及响应文件、澄清、国家标准、行业标准以及采购人要求且满足有关技术规范要求等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完成渭南市临渭区城区2025年度土地征收成片开发方案编制工作,通过省级批复及提交成果后，中标供应商应提供同等金额的发票,采购人在收到正规发票后履行付款手续，支付发票全部费用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资格证明文件.pdf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供应商须具备土地规划乙级及以上资质证书；拟派项目负责人具有规划或测绘相关专业中级及以上职称；（注：项目负责人须为本单位在职员工并提供投标截止日前三个月社会保障资金凭证并加盖投标人公章）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应授权合法的人员参加投标全过程</w:t>
            </w:r>
          </w:p>
        </w:tc>
        <w:tc>
          <w:tcPr>
            <w:tcW w:type="dxa" w:w="3322"/>
          </w:tcPr>
          <w:p>
            <w:pPr>
              <w:pStyle w:val="null3"/>
            </w:pPr>
            <w:r>
              <w:rPr>
                <w:rFonts w:ascii="仿宋_GB2312" w:hAnsi="仿宋_GB2312" w:cs="仿宋_GB2312" w:eastAsia="仿宋_GB2312"/>
              </w:rPr>
              <w:t>供应商应授权合法的人员参加投标，其中法定代表人直接参加投标，须出具法定代表人身份证，并与营业执照上信息一致。法定代表人授权代表参加投标，须出具法定代表人授权书及授权代表身份证原件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健全的财务会计制度的证明材料</w:t>
            </w:r>
          </w:p>
        </w:tc>
        <w:tc>
          <w:tcPr>
            <w:tcW w:type="dxa" w:w="3322"/>
          </w:tcPr>
          <w:p>
            <w:pPr>
              <w:pStyle w:val="null3"/>
            </w:pPr>
            <w:r>
              <w:rPr>
                <w:rFonts w:ascii="仿宋_GB2312" w:hAnsi="仿宋_GB2312" w:cs="仿宋_GB2312" w:eastAsia="仿宋_GB2312"/>
              </w:rPr>
              <w:t>提供2024年度经审计的财务报告 (成立时间至开标时间不足一年的可提供成立后任意时段的资产负债表）或投标截止时间前六个月内其基本账户银行出具的资信证明；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税收缴纳证明材料</w:t>
            </w:r>
          </w:p>
        </w:tc>
        <w:tc>
          <w:tcPr>
            <w:tcW w:type="dxa" w:w="3322"/>
          </w:tcPr>
          <w:p>
            <w:pPr>
              <w:pStyle w:val="null3"/>
            </w:pPr>
            <w:r>
              <w:rPr>
                <w:rFonts w:ascii="仿宋_GB2312" w:hAnsi="仿宋_GB2312" w:cs="仿宋_GB2312" w:eastAsia="仿宋_GB2312"/>
              </w:rPr>
              <w:t>供应商提供本单位2025年01月至今已缴纳的至少一个月的纳税证明或完税证明；（以税款所属期为准，依法免税的应提供相关证明材料）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供应商提供本单位2025年01月至今已缴纳的至少一个月的社会保障资金缴存单据或社保机构开具的社会保险参保缴费情况证明或完税证明；（依法不需要缴纳社会保障资金的投标人应提供相关证明）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提供具有履行合同所必需的设备和专业技术能力的说明及承诺，提供承诺书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供应商企业信誉</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投标保证金缴纳符合要求</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总体工作方案</w:t>
            </w:r>
          </w:p>
        </w:tc>
        <w:tc>
          <w:tcPr>
            <w:tcW w:type="dxa" w:w="2492"/>
          </w:tcPr>
          <w:p>
            <w:pPr>
              <w:pStyle w:val="null3"/>
            </w:pPr>
            <w:r>
              <w:rPr>
                <w:rFonts w:ascii="仿宋_GB2312" w:hAnsi="仿宋_GB2312" w:cs="仿宋_GB2312" w:eastAsia="仿宋_GB2312"/>
              </w:rPr>
              <w:t>1.评审内容：供应商针对本项目制定的总体工作方案，包含①开展项目谋划储备培训；②项目需求，③目标任务，④工作流程，⑤实施方案。 2.评审标准：①完整性：服务方案须全面，思路清晰、分析透彻，内容完整、方案科学、合理；②可实施性；切合本项目实际情况，步骤明确、可操作性强；③针对性：总体方案能够紧扣项目实际情况，专业性强、内容科学、合理。 3.赋分标准（满分20分）：①每一项评审内容完全满足评审标准得5分；②每一项评审内容若存在方案不明确、不够合理、不完整、针对性不强等方面，扣1.5分；③每一项评审内容不提供或完全背离评审标准得0分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项目安全、廉洁、保密管理方案</w:t>
            </w:r>
          </w:p>
        </w:tc>
        <w:tc>
          <w:tcPr>
            <w:tcW w:type="dxa" w:w="2492"/>
          </w:tcPr>
          <w:p>
            <w:pPr>
              <w:pStyle w:val="null3"/>
            </w:pPr>
            <w:r>
              <w:rPr>
                <w:rFonts w:ascii="仿宋_GB2312" w:hAnsi="仿宋_GB2312" w:cs="仿宋_GB2312" w:eastAsia="仿宋_GB2312"/>
              </w:rPr>
              <w:t>1、评审内容 针对本项目提出的安全、保密管理方案，方案内容包含 ①安全管理方案②廉洁管理方案③保密管理方案。 2、评审标准 ①完整性：方案全面，梳理出项目关键点，并给出控制策略，对评审内容中的各项要求有详细描述及说明；②可实施性：切合本项目实际情况，实施步骤清晰、合理； ③针对性：方案能够紧扣项目实际情况，内容科学合理。 3、赋分标准(满分15分) ①每一项评审内容完全满足评审标准得5分；②每一项评审内容若存在方案不明确、不够合理、不完整、针对性不强等方面，扣1.5分；③每一项评审内容不提供或完全背离评审标准得0分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项目进度计划及质量保证措施</w:t>
            </w:r>
          </w:p>
        </w:tc>
        <w:tc>
          <w:tcPr>
            <w:tcW w:type="dxa" w:w="2492"/>
          </w:tcPr>
          <w:p>
            <w:pPr>
              <w:pStyle w:val="null3"/>
            </w:pPr>
            <w:r>
              <w:rPr>
                <w:rFonts w:ascii="仿宋_GB2312" w:hAnsi="仿宋_GB2312" w:cs="仿宋_GB2312" w:eastAsia="仿宋_GB2312"/>
              </w:rPr>
              <w:t>1.评审内容：供应商针对本项目提供项目进度计划及质量保证措施，内容包括：①各阶段工作计划及保证措施；②各阶段质量保证措施。 2.评审标准①完整性：保障措施须全面，完整、科学、合理；②可实施性；切合本项目实际情况，思路明确、可操作性强；③针对性：能够紧扣项目实际情况，内容科学、合理。 3.赋分标准（满分8分）①每一项评审内容完全满足评审标准得4分；②每一项评审内容若存在不够明确、不够合理、不完整、针对性不强等方面，扣2分；③每一项评审内容不提供或完全背离评审标准得0分。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1.评审内容：后期服务配合计划，包括①为采购人提供相关技术咨询，②优化建议等措施，③配合采购人提供相应的成果及相关材料，④配合采购人完成成果验收相关工作。 2.评审标准①完整性：后期服务配合计划全面，完整、科学、合理；②可实施性；切合本项目实际情况，思路明确、可操作性强；③针对性：能够紧扣项目实际情况，内容科学、合理。 3.赋分标准（满分8分）①每一项评审内容完全满足评审标准得2分；②每一项评审内容若存在不够明确、不够合理、不完整、针对性不强等方面，扣1分；③每一项评审内容不提供或完全背离评审标准得0分。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投标人提供近3年(2022年1月至今)类似业绩：有一项得3分，本项最高得9分； 投标人需提供中标通知书或合同或成果文件复印件。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1.拟任本项目的项目负责人(主笔人)具有规划或测绘相关专业工程师，具有高级职称的计3分；具有中级职称的计2分；其他的不得分，需要提供相关证书。 2.拟任项目负责人(主笔人)具有类似业绩的得2分；业绩提供中标通知书或合同复印件，能体现项目负责人姓名。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项目其他人员</w:t>
            </w:r>
          </w:p>
        </w:tc>
        <w:tc>
          <w:tcPr>
            <w:tcW w:type="dxa" w:w="2492"/>
          </w:tcPr>
          <w:p>
            <w:pPr>
              <w:pStyle w:val="null3"/>
            </w:pPr>
            <w:r>
              <w:rPr>
                <w:rFonts w:ascii="仿宋_GB2312" w:hAnsi="仿宋_GB2312" w:cs="仿宋_GB2312" w:eastAsia="仿宋_GB2312"/>
              </w:rPr>
              <w:t>拟投入本项目的其他专业技术人员(不含项目负责人)，技术人员配备合理、专业人员分工、职责明确，能够满足本项目服务需求： （1）技术人员配备充足（10人以上），专业配置合理全面，专业能力强，能全面高效地完成本项目的计10分； （2）人员配备合理（5人至10人），专业配置合理，专业能力一般，满足本项目基本工作需要的计5分； （3）人员配备不足（不足5人），专业配置不足，专业能力差，无法满足本项目基本工作需要的不得分；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投标人的价格分统一按照下列公式计算:报价得分=评审基准价/有效投标报价x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